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default" w:ascii="黑体" w:hAnsi="黑体" w:eastAsia="黑体" w:cs="黑体"/>
          <w:color w:val="auto"/>
          <w:kern w:val="0"/>
          <w:sz w:val="32"/>
          <w:szCs w:val="32"/>
          <w:lang w:val="en-US" w:eastAsia="zh-CN"/>
        </w:rPr>
      </w:pPr>
      <w:r>
        <w:rPr>
          <w:rFonts w:hint="eastAsia" w:ascii="方正黑体_GBK" w:hAnsi="方正黑体_GBK" w:eastAsia="方正黑体_GBK" w:cs="方正黑体_GBK"/>
          <w:color w:val="auto"/>
          <w:kern w:val="0"/>
          <w:sz w:val="32"/>
          <w:szCs w:val="32"/>
          <w:highlight w:val="none"/>
          <w:lang w:eastAsia="zh-CN"/>
        </w:rPr>
        <w:t>附件</w:t>
      </w:r>
      <w:r>
        <w:rPr>
          <w:rFonts w:hint="default" w:ascii="Times New Roman" w:hAnsi="Times New Roman" w:eastAsia="方正黑体_GBK" w:cs="Times New Roman"/>
          <w:color w:val="auto"/>
          <w:kern w:val="0"/>
          <w:sz w:val="32"/>
          <w:szCs w:val="32"/>
          <w:highlight w:val="none"/>
          <w:lang w:val="en-US" w:eastAsia="zh-CN"/>
        </w:rPr>
        <w:t>2</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_GBK" w:hAnsi="方正小标宋_GBK" w:eastAsia="方正小标宋_GBK" w:cs="方正小标宋_GBK"/>
          <w:color w:val="auto"/>
          <w:kern w:val="0"/>
          <w:sz w:val="44"/>
        </w:rPr>
      </w:pPr>
      <w:r>
        <w:rPr>
          <w:rFonts w:hint="eastAsia" w:ascii="方正小标宋_GBK" w:hAnsi="方正小标宋_GBK" w:eastAsia="方正小标宋_GBK" w:cs="方正小标宋_GBK"/>
          <w:color w:val="auto"/>
          <w:kern w:val="0"/>
          <w:sz w:val="44"/>
        </w:rPr>
        <w:t>委托</w:t>
      </w:r>
      <w:r>
        <w:rPr>
          <w:rFonts w:hint="eastAsia" w:ascii="方正小标宋_GBK" w:hAnsi="方正小标宋_GBK" w:eastAsia="方正小标宋_GBK" w:cs="方正小标宋_GBK"/>
          <w:color w:val="auto"/>
          <w:kern w:val="0"/>
          <w:sz w:val="44"/>
          <w:lang w:eastAsia="zh-CN"/>
        </w:rPr>
        <w:t>乡</w:t>
      </w:r>
      <w:r>
        <w:rPr>
          <w:rFonts w:hint="eastAsia" w:ascii="方正小标宋_GBK" w:hAnsi="方正小标宋_GBK" w:eastAsia="方正小标宋_GBK" w:cs="方正小标宋_GBK"/>
          <w:color w:val="auto"/>
          <w:kern w:val="0"/>
          <w:sz w:val="44"/>
        </w:rPr>
        <w:t>镇行使的消防行政</w:t>
      </w:r>
      <w:r>
        <w:rPr>
          <w:rFonts w:hint="eastAsia" w:ascii="方正小标宋_GBK" w:hAnsi="方正小标宋_GBK" w:eastAsia="方正小标宋_GBK" w:cs="方正小标宋_GBK"/>
          <w:color w:val="auto"/>
          <w:kern w:val="0"/>
          <w:sz w:val="44"/>
          <w:lang w:val="en-US" w:eastAsia="zh-CN"/>
        </w:rPr>
        <w:t>执法</w:t>
      </w:r>
      <w:r>
        <w:rPr>
          <w:rFonts w:hint="eastAsia" w:ascii="方正小标宋_GBK" w:hAnsi="方正小标宋_GBK" w:eastAsia="方正小标宋_GBK" w:cs="方正小标宋_GBK"/>
          <w:color w:val="auto"/>
          <w:kern w:val="0"/>
          <w:sz w:val="44"/>
        </w:rPr>
        <w:t>权限</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eastAsia="微软雅黑"/>
          <w:color w:val="auto"/>
          <w:kern w:val="0"/>
          <w:sz w:val="20"/>
          <w:szCs w:val="20"/>
        </w:rPr>
      </w:pPr>
    </w:p>
    <w:tbl>
      <w:tblPr>
        <w:tblStyle w:val="4"/>
        <w:tblW w:w="9682" w:type="dxa"/>
        <w:jc w:val="center"/>
        <w:tblInd w:w="-288" w:type="dxa"/>
        <w:tblLayout w:type="fixed"/>
        <w:tblCellMar>
          <w:top w:w="0" w:type="dxa"/>
          <w:left w:w="0" w:type="dxa"/>
          <w:bottom w:w="0" w:type="dxa"/>
          <w:right w:w="0" w:type="dxa"/>
        </w:tblCellMar>
      </w:tblPr>
      <w:tblGrid>
        <w:gridCol w:w="620"/>
        <w:gridCol w:w="885"/>
        <w:gridCol w:w="1050"/>
        <w:gridCol w:w="4965"/>
        <w:gridCol w:w="2162"/>
      </w:tblGrid>
      <w:tr>
        <w:tblPrEx>
          <w:tblLayout w:type="fixed"/>
          <w:tblCellMar>
            <w:top w:w="0" w:type="dxa"/>
            <w:left w:w="0" w:type="dxa"/>
            <w:bottom w:w="0" w:type="dxa"/>
            <w:right w:w="0" w:type="dxa"/>
          </w:tblCellMar>
        </w:tblPrEx>
        <w:trPr>
          <w:trHeight w:val="920" w:hRule="atLeast"/>
          <w:tblHeader/>
          <w:jc w:val="center"/>
        </w:trPr>
        <w:tc>
          <w:tcPr>
            <w:tcW w:w="620" w:type="dxa"/>
            <w:tcBorders>
              <w:top w:val="single" w:color="auto" w:sz="8" w:space="0"/>
              <w:left w:val="single" w:color="auto" w:sz="8" w:space="0"/>
              <w:bottom w:val="single" w:color="auto" w:sz="4" w:space="0"/>
              <w:right w:val="single" w:color="auto" w:sz="8" w:space="0"/>
            </w:tcBorders>
            <w:noWrap w:val="0"/>
            <w:tcMar>
              <w:top w:w="0" w:type="dxa"/>
              <w:left w:w="17" w:type="dxa"/>
              <w:bottom w:w="0" w:type="dxa"/>
              <w:right w:w="17"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方正黑体_GBK" w:hAnsi="方正黑体_GBK" w:eastAsia="方正黑体_GBK" w:cs="方正黑体_GBK"/>
                <w:color w:val="auto"/>
                <w:kern w:val="0"/>
                <w:sz w:val="24"/>
              </w:rPr>
            </w:pPr>
            <w:r>
              <w:rPr>
                <w:rFonts w:hint="eastAsia" w:ascii="方正黑体_GBK" w:hAnsi="方正黑体_GBK" w:eastAsia="方正黑体_GBK" w:cs="方正黑体_GBK"/>
                <w:bCs/>
                <w:color w:val="auto"/>
                <w:kern w:val="0"/>
                <w:sz w:val="24"/>
              </w:rPr>
              <w:t>委托</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方正黑体_GBK" w:hAnsi="方正黑体_GBK" w:eastAsia="方正黑体_GBK" w:cs="方正黑体_GBK"/>
                <w:color w:val="auto"/>
                <w:kern w:val="0"/>
                <w:sz w:val="24"/>
              </w:rPr>
            </w:pPr>
            <w:r>
              <w:rPr>
                <w:rFonts w:hint="eastAsia" w:ascii="方正黑体_GBK" w:hAnsi="方正黑体_GBK" w:eastAsia="方正黑体_GBK" w:cs="方正黑体_GBK"/>
                <w:bCs/>
                <w:color w:val="auto"/>
                <w:kern w:val="0"/>
                <w:sz w:val="24"/>
              </w:rPr>
              <w:t>项目</w:t>
            </w:r>
          </w:p>
        </w:tc>
        <w:tc>
          <w:tcPr>
            <w:tcW w:w="885" w:type="dxa"/>
            <w:tcBorders>
              <w:top w:val="single" w:color="auto" w:sz="8" w:space="0"/>
              <w:left w:val="nil"/>
              <w:bottom w:val="single" w:color="auto" w:sz="4" w:space="0"/>
              <w:right w:val="single" w:color="auto" w:sz="8" w:space="0"/>
            </w:tcBorders>
            <w:noWrap w:val="0"/>
            <w:tcMar>
              <w:top w:w="0" w:type="dxa"/>
              <w:left w:w="17" w:type="dxa"/>
              <w:bottom w:w="0" w:type="dxa"/>
              <w:right w:w="17"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方正黑体_GBK" w:hAnsi="方正黑体_GBK" w:eastAsia="方正黑体_GBK" w:cs="方正黑体_GBK"/>
                <w:bCs/>
                <w:color w:val="auto"/>
                <w:kern w:val="0"/>
                <w:sz w:val="24"/>
              </w:rPr>
            </w:pPr>
            <w:r>
              <w:rPr>
                <w:rFonts w:hint="eastAsia" w:ascii="方正黑体_GBK" w:hAnsi="方正黑体_GBK" w:eastAsia="方正黑体_GBK" w:cs="方正黑体_GBK"/>
                <w:bCs/>
                <w:color w:val="auto"/>
                <w:kern w:val="0"/>
                <w:sz w:val="24"/>
              </w:rPr>
              <w:t>委托</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方正黑体_GBK" w:hAnsi="方正黑体_GBK" w:eastAsia="方正黑体_GBK" w:cs="方正黑体_GBK"/>
                <w:bCs/>
                <w:color w:val="auto"/>
                <w:kern w:val="0"/>
                <w:sz w:val="24"/>
              </w:rPr>
            </w:pPr>
            <w:r>
              <w:rPr>
                <w:rFonts w:hint="eastAsia" w:ascii="方正黑体_GBK" w:hAnsi="方正黑体_GBK" w:eastAsia="方正黑体_GBK" w:cs="方正黑体_GBK"/>
                <w:bCs/>
                <w:color w:val="auto"/>
                <w:kern w:val="0"/>
                <w:sz w:val="24"/>
              </w:rPr>
              <w:t>行政</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方正黑体_GBK" w:hAnsi="方正黑体_GBK" w:eastAsia="方正黑体_GBK" w:cs="方正黑体_GBK"/>
                <w:color w:val="auto"/>
                <w:kern w:val="0"/>
                <w:sz w:val="24"/>
              </w:rPr>
            </w:pPr>
            <w:r>
              <w:rPr>
                <w:rFonts w:hint="eastAsia" w:ascii="方正黑体_GBK" w:hAnsi="方正黑体_GBK" w:eastAsia="方正黑体_GBK" w:cs="方正黑体_GBK"/>
                <w:bCs/>
                <w:color w:val="auto"/>
                <w:kern w:val="0"/>
                <w:sz w:val="24"/>
              </w:rPr>
              <w:t>机关</w:t>
            </w:r>
          </w:p>
        </w:tc>
        <w:tc>
          <w:tcPr>
            <w:tcW w:w="1050" w:type="dxa"/>
            <w:tcBorders>
              <w:top w:val="single" w:color="auto" w:sz="8" w:space="0"/>
              <w:left w:val="nil"/>
              <w:bottom w:val="single" w:color="auto" w:sz="4" w:space="0"/>
              <w:right w:val="single" w:color="auto" w:sz="8" w:space="0"/>
            </w:tcBorders>
            <w:noWrap w:val="0"/>
            <w:tcMar>
              <w:top w:w="0" w:type="dxa"/>
              <w:left w:w="17" w:type="dxa"/>
              <w:bottom w:w="0" w:type="dxa"/>
              <w:right w:w="17"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方正黑体_GBK" w:hAnsi="方正黑体_GBK" w:eastAsia="方正黑体_GBK" w:cs="方正黑体_GBK"/>
                <w:bCs/>
                <w:color w:val="auto"/>
                <w:kern w:val="0"/>
                <w:sz w:val="24"/>
              </w:rPr>
            </w:pPr>
            <w:r>
              <w:rPr>
                <w:rFonts w:hint="eastAsia" w:ascii="方正黑体_GBK" w:hAnsi="方正黑体_GBK" w:eastAsia="方正黑体_GBK" w:cs="方正黑体_GBK"/>
                <w:bCs/>
                <w:color w:val="auto"/>
                <w:kern w:val="0"/>
                <w:sz w:val="24"/>
              </w:rPr>
              <w:t>受委托</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方正黑体_GBK" w:hAnsi="方正黑体_GBK" w:eastAsia="方正黑体_GBK" w:cs="方正黑体_GBK"/>
                <w:color w:val="auto"/>
                <w:kern w:val="0"/>
                <w:sz w:val="24"/>
              </w:rPr>
            </w:pPr>
            <w:r>
              <w:rPr>
                <w:rFonts w:hint="eastAsia" w:ascii="方正黑体_GBK" w:hAnsi="方正黑体_GBK" w:eastAsia="方正黑体_GBK" w:cs="方正黑体_GBK"/>
                <w:bCs/>
                <w:color w:val="auto"/>
                <w:kern w:val="0"/>
                <w:sz w:val="24"/>
              </w:rPr>
              <w:t>行政机关</w:t>
            </w:r>
          </w:p>
        </w:tc>
        <w:tc>
          <w:tcPr>
            <w:tcW w:w="4965" w:type="dxa"/>
            <w:tcBorders>
              <w:top w:val="single" w:color="auto" w:sz="8" w:space="0"/>
              <w:left w:val="nil"/>
              <w:bottom w:val="single" w:color="auto" w:sz="4" w:space="0"/>
              <w:right w:val="single" w:color="auto" w:sz="8" w:space="0"/>
            </w:tcBorders>
            <w:noWrap w:val="0"/>
            <w:tcMar>
              <w:top w:w="0" w:type="dxa"/>
              <w:left w:w="17" w:type="dxa"/>
              <w:bottom w:w="0" w:type="dxa"/>
              <w:right w:w="17"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方正黑体_GBK" w:hAnsi="方正黑体_GBK" w:eastAsia="方正黑体_GBK" w:cs="方正黑体_GBK"/>
                <w:color w:val="auto"/>
                <w:kern w:val="0"/>
                <w:sz w:val="24"/>
              </w:rPr>
            </w:pPr>
            <w:r>
              <w:rPr>
                <w:rFonts w:hint="eastAsia" w:ascii="方正黑体_GBK" w:hAnsi="方正黑体_GBK" w:eastAsia="方正黑体_GBK" w:cs="方正黑体_GBK"/>
                <w:bCs/>
                <w:color w:val="auto"/>
                <w:kern w:val="0"/>
                <w:sz w:val="24"/>
              </w:rPr>
              <w:t>行政执法法定事项及权限</w:t>
            </w:r>
          </w:p>
        </w:tc>
        <w:tc>
          <w:tcPr>
            <w:tcW w:w="2162" w:type="dxa"/>
            <w:tcBorders>
              <w:top w:val="single" w:color="auto" w:sz="8" w:space="0"/>
              <w:left w:val="nil"/>
              <w:bottom w:val="single" w:color="auto" w:sz="4" w:space="0"/>
              <w:right w:val="single" w:color="auto" w:sz="8" w:space="0"/>
            </w:tcBorders>
            <w:noWrap w:val="0"/>
            <w:tcMar>
              <w:top w:w="0" w:type="dxa"/>
              <w:left w:w="17" w:type="dxa"/>
              <w:bottom w:w="0" w:type="dxa"/>
              <w:right w:w="17"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方正黑体_GBK" w:hAnsi="方正黑体_GBK" w:eastAsia="方正黑体_GBK" w:cs="方正黑体_GBK"/>
                <w:color w:val="auto"/>
                <w:kern w:val="0"/>
                <w:sz w:val="24"/>
              </w:rPr>
            </w:pPr>
            <w:r>
              <w:rPr>
                <w:rFonts w:hint="eastAsia" w:ascii="方正黑体_GBK" w:hAnsi="方正黑体_GBK" w:eastAsia="方正黑体_GBK" w:cs="方正黑体_GBK"/>
                <w:bCs/>
                <w:color w:val="auto"/>
                <w:kern w:val="0"/>
                <w:sz w:val="24"/>
              </w:rPr>
              <w:t>委 托 权 限</w:t>
            </w:r>
          </w:p>
        </w:tc>
      </w:tr>
      <w:tr>
        <w:tblPrEx>
          <w:tblLayout w:type="fixed"/>
          <w:tblCellMar>
            <w:top w:w="0" w:type="dxa"/>
            <w:left w:w="0" w:type="dxa"/>
            <w:bottom w:w="0" w:type="dxa"/>
            <w:right w:w="0" w:type="dxa"/>
          </w:tblCellMar>
        </w:tblPrEx>
        <w:trPr>
          <w:trHeight w:val="6746" w:hRule="atLeast"/>
          <w:jc w:val="center"/>
        </w:trPr>
        <w:tc>
          <w:tcPr>
            <w:tcW w:w="620" w:type="dxa"/>
            <w:vMerge w:val="restart"/>
            <w:tcBorders>
              <w:top w:val="single" w:color="auto" w:sz="4" w:space="0"/>
              <w:left w:val="single" w:color="auto" w:sz="4" w:space="0"/>
              <w:right w:val="single" w:color="auto" w:sz="4" w:space="0"/>
            </w:tcBorders>
            <w:noWrap w:val="0"/>
            <w:tcMar>
              <w:top w:w="17" w:type="dxa"/>
              <w:left w:w="17" w:type="dxa"/>
              <w:bottom w:w="17" w:type="dxa"/>
              <w:right w:w="17"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方正仿宋_GBK" w:hAnsi="方正仿宋_GBK" w:eastAsia="方正仿宋_GBK" w:cs="方正仿宋_GBK"/>
                <w:color w:val="auto"/>
                <w:kern w:val="0"/>
                <w:sz w:val="24"/>
              </w:rPr>
            </w:pPr>
            <w:r>
              <w:rPr>
                <w:rFonts w:hint="eastAsia" w:ascii="方正仿宋_GBK" w:hAnsi="方正仿宋_GBK" w:eastAsia="方正仿宋_GBK" w:cs="方正仿宋_GBK"/>
                <w:color w:val="auto"/>
                <w:kern w:val="0"/>
                <w:sz w:val="24"/>
              </w:rPr>
              <w:t>消防监督管理行政处罚</w:t>
            </w:r>
          </w:p>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方正仿宋_GBK" w:hAnsi="方正仿宋_GBK" w:eastAsia="方正仿宋_GBK" w:cs="方正仿宋_GBK"/>
                <w:snapToGrid w:val="0"/>
                <w:color w:val="auto"/>
                <w:spacing w:val="6"/>
                <w:kern w:val="0"/>
                <w:sz w:val="24"/>
                <w:szCs w:val="30"/>
                <w:lang w:val="en-US" w:eastAsia="zh-CN" w:bidi="ar-SA"/>
              </w:rPr>
            </w:pPr>
          </w:p>
        </w:tc>
        <w:tc>
          <w:tcPr>
            <w:tcW w:w="885" w:type="dxa"/>
            <w:vMerge w:val="restart"/>
            <w:tcBorders>
              <w:top w:val="single" w:color="auto" w:sz="4" w:space="0"/>
              <w:left w:val="single" w:color="auto" w:sz="4" w:space="0"/>
              <w:right w:val="single" w:color="auto" w:sz="4" w:space="0"/>
            </w:tcBorders>
            <w:noWrap w:val="0"/>
            <w:tcMar>
              <w:top w:w="17" w:type="dxa"/>
              <w:left w:w="17" w:type="dxa"/>
              <w:bottom w:w="17" w:type="dxa"/>
              <w:right w:w="17"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方正仿宋_GBK" w:hAnsi="方正仿宋_GBK" w:eastAsia="方正仿宋_GBK" w:cs="方正仿宋_GBK"/>
                <w:color w:val="auto"/>
                <w:kern w:val="0"/>
                <w:sz w:val="24"/>
                <w:lang w:val="en-US" w:eastAsia="zh-CN"/>
              </w:rPr>
            </w:pPr>
            <w:r>
              <w:rPr>
                <w:rFonts w:hint="eastAsia" w:ascii="方正仿宋_GBK" w:hAnsi="方正仿宋_GBK" w:eastAsia="方正仿宋_GBK" w:cs="方正仿宋_GBK"/>
                <w:color w:val="auto"/>
                <w:kern w:val="0"/>
                <w:sz w:val="24"/>
                <w:lang w:val="en-US" w:eastAsia="zh-CN"/>
              </w:rPr>
              <w:t>大埔县</w:t>
            </w:r>
            <w:r>
              <w:rPr>
                <w:rFonts w:hint="eastAsia" w:ascii="方正仿宋_GBK" w:hAnsi="方正仿宋_GBK" w:eastAsia="方正仿宋_GBK" w:cs="方正仿宋_GBK"/>
                <w:color w:val="auto"/>
                <w:kern w:val="0"/>
                <w:sz w:val="24"/>
              </w:rPr>
              <w:t>消防救援</w:t>
            </w:r>
            <w:r>
              <w:rPr>
                <w:rFonts w:hint="eastAsia" w:ascii="方正仿宋_GBK" w:hAnsi="方正仿宋_GBK" w:eastAsia="方正仿宋_GBK" w:cs="方正仿宋_GBK"/>
                <w:color w:val="auto"/>
                <w:kern w:val="0"/>
                <w:sz w:val="24"/>
                <w:lang w:val="en-US" w:eastAsia="zh-CN"/>
              </w:rPr>
              <w:t>大队</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方正仿宋_GBK" w:hAnsi="方正仿宋_GBK" w:eastAsia="方正仿宋_GBK" w:cs="方正仿宋_GBK"/>
                <w:snapToGrid w:val="0"/>
                <w:color w:val="auto"/>
                <w:spacing w:val="6"/>
                <w:kern w:val="0"/>
                <w:sz w:val="24"/>
                <w:szCs w:val="30"/>
                <w:lang w:val="en-US" w:eastAsia="zh-CN" w:bidi="ar-SA"/>
              </w:rPr>
            </w:pPr>
          </w:p>
        </w:tc>
        <w:tc>
          <w:tcPr>
            <w:tcW w:w="1050" w:type="dxa"/>
            <w:vMerge w:val="restart"/>
            <w:tcBorders>
              <w:top w:val="single" w:color="auto" w:sz="4" w:space="0"/>
              <w:left w:val="single" w:color="auto" w:sz="4" w:space="0"/>
              <w:right w:val="single" w:color="auto" w:sz="4" w:space="0"/>
            </w:tcBorders>
            <w:noWrap w:val="0"/>
            <w:tcMar>
              <w:top w:w="17" w:type="dxa"/>
              <w:left w:w="17" w:type="dxa"/>
              <w:bottom w:w="17" w:type="dxa"/>
              <w:right w:w="17"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方正仿宋_GBK" w:hAnsi="方正仿宋_GBK" w:eastAsia="方正仿宋_GBK" w:cs="方正仿宋_GBK"/>
                <w:color w:val="auto"/>
                <w:kern w:val="0"/>
                <w:sz w:val="24"/>
              </w:rPr>
            </w:pPr>
            <w:r>
              <w:rPr>
                <w:rFonts w:hint="eastAsia" w:ascii="方正仿宋_GBK" w:hAnsi="方正仿宋_GBK" w:eastAsia="方正仿宋_GBK" w:cs="方正仿宋_GBK"/>
                <w:color w:val="auto"/>
                <w:kern w:val="0"/>
                <w:sz w:val="24"/>
              </w:rPr>
              <w:t>镇人民</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方正仿宋_GBK" w:hAnsi="方正仿宋_GBK" w:eastAsia="方正仿宋_GBK" w:cs="方正仿宋_GBK"/>
                <w:color w:val="auto"/>
                <w:kern w:val="0"/>
                <w:sz w:val="24"/>
              </w:rPr>
            </w:pPr>
            <w:r>
              <w:rPr>
                <w:rFonts w:hint="eastAsia" w:ascii="方正仿宋_GBK" w:hAnsi="方正仿宋_GBK" w:eastAsia="方正仿宋_GBK" w:cs="方正仿宋_GBK"/>
                <w:color w:val="auto"/>
                <w:kern w:val="0"/>
                <w:sz w:val="24"/>
              </w:rPr>
              <w:t>政府</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方正仿宋_GBK" w:hAnsi="方正仿宋_GBK" w:eastAsia="方正仿宋_GBK" w:cs="方正仿宋_GBK"/>
                <w:snapToGrid w:val="0"/>
                <w:color w:val="auto"/>
                <w:spacing w:val="6"/>
                <w:kern w:val="0"/>
                <w:sz w:val="24"/>
                <w:szCs w:val="30"/>
                <w:lang w:val="en-US" w:eastAsia="zh-CN" w:bidi="ar-SA"/>
              </w:rPr>
            </w:pPr>
          </w:p>
        </w:tc>
        <w:tc>
          <w:tcPr>
            <w:tcW w:w="4965" w:type="dxa"/>
            <w:tcBorders>
              <w:top w:val="single" w:color="auto" w:sz="4" w:space="0"/>
              <w:left w:val="single" w:color="auto" w:sz="4" w:space="0"/>
              <w:bottom w:val="single" w:color="auto" w:sz="4" w:space="0"/>
              <w:right w:val="single" w:color="auto" w:sz="4" w:space="0"/>
            </w:tcBorders>
            <w:noWrap w:val="0"/>
            <w:tcMar>
              <w:top w:w="17" w:type="dxa"/>
              <w:left w:w="17" w:type="dxa"/>
              <w:bottom w:w="17" w:type="dxa"/>
              <w:right w:w="17" w:type="dxa"/>
            </w:tcMar>
            <w:vAlign w:val="center"/>
          </w:tcPr>
          <w:p>
            <w:pPr>
              <w:keepNext w:val="0"/>
              <w:keepLines w:val="0"/>
              <w:pageBreakBefore w:val="0"/>
              <w:widowControl w:val="0"/>
              <w:tabs>
                <w:tab w:val="left" w:pos="420"/>
              </w:tabs>
              <w:kinsoku/>
              <w:wordWrap/>
              <w:overflowPunct/>
              <w:topLinePunct w:val="0"/>
              <w:autoSpaceDE/>
              <w:autoSpaceDN/>
              <w:bidi w:val="0"/>
              <w:adjustRightInd/>
              <w:snapToGrid/>
              <w:spacing w:line="320" w:lineRule="exact"/>
              <w:textAlignment w:val="auto"/>
              <w:rPr>
                <w:rFonts w:hint="eastAsia" w:ascii="方正仿宋_GBK" w:hAnsi="方正仿宋_GBK" w:eastAsia="方正仿宋_GBK" w:cs="方正仿宋_GBK"/>
                <w:color w:val="auto"/>
                <w:kern w:val="0"/>
                <w:sz w:val="24"/>
              </w:rPr>
            </w:pPr>
            <w:r>
              <w:rPr>
                <w:rFonts w:hint="eastAsia" w:ascii="方正仿宋_GBK" w:hAnsi="方正仿宋_GBK" w:eastAsia="方正仿宋_GBK" w:cs="方正仿宋_GBK"/>
                <w:color w:val="auto"/>
                <w:kern w:val="0"/>
                <w:sz w:val="24"/>
              </w:rPr>
              <w:t>《中华人民共和国消防法》第六十条：单位违反本法规定，有下列行为之一的，责令改正，处五千元以上五万元以下罚款：</w:t>
            </w:r>
            <w:r>
              <w:rPr>
                <w:rFonts w:hint="eastAsia" w:ascii="方正仿宋_GBK" w:hAnsi="方正仿宋_GBK" w:eastAsia="方正仿宋_GBK" w:cs="方正仿宋_GBK"/>
                <w:color w:val="auto"/>
                <w:kern w:val="0"/>
                <w:sz w:val="24"/>
              </w:rPr>
              <w:br w:type="textWrapping"/>
            </w:r>
            <w:r>
              <w:rPr>
                <w:rFonts w:hint="eastAsia" w:ascii="方正仿宋_GBK" w:hAnsi="方正仿宋_GBK" w:eastAsia="方正仿宋_GBK" w:cs="方正仿宋_GBK"/>
                <w:color w:val="auto"/>
                <w:kern w:val="0"/>
                <w:sz w:val="24"/>
              </w:rPr>
              <w:t>（一）消防设施、器材或者消防安全标志的配置、设置不符合国家标准、行业标准，或者未保持完好有效的；</w:t>
            </w:r>
            <w:r>
              <w:rPr>
                <w:rFonts w:hint="eastAsia" w:ascii="方正仿宋_GBK" w:hAnsi="方正仿宋_GBK" w:eastAsia="方正仿宋_GBK" w:cs="方正仿宋_GBK"/>
                <w:color w:val="auto"/>
                <w:kern w:val="0"/>
                <w:sz w:val="24"/>
              </w:rPr>
              <w:br w:type="textWrapping"/>
            </w:r>
            <w:r>
              <w:rPr>
                <w:rFonts w:hint="eastAsia" w:ascii="方正仿宋_GBK" w:hAnsi="方正仿宋_GBK" w:eastAsia="方正仿宋_GBK" w:cs="方正仿宋_GBK"/>
                <w:color w:val="auto"/>
                <w:kern w:val="0"/>
                <w:sz w:val="24"/>
              </w:rPr>
              <w:t>（二）损坏、挪用或者擅自拆除、停用消防设施、器材的；</w:t>
            </w:r>
            <w:r>
              <w:rPr>
                <w:rFonts w:hint="eastAsia" w:ascii="方正仿宋_GBK" w:hAnsi="方正仿宋_GBK" w:eastAsia="方正仿宋_GBK" w:cs="方正仿宋_GBK"/>
                <w:color w:val="auto"/>
                <w:kern w:val="0"/>
                <w:sz w:val="24"/>
              </w:rPr>
              <w:br w:type="textWrapping"/>
            </w:r>
            <w:r>
              <w:rPr>
                <w:rFonts w:hint="eastAsia" w:ascii="方正仿宋_GBK" w:hAnsi="方正仿宋_GBK" w:eastAsia="方正仿宋_GBK" w:cs="方正仿宋_GBK"/>
                <w:color w:val="auto"/>
                <w:kern w:val="0"/>
                <w:sz w:val="24"/>
              </w:rPr>
              <w:t>（三）占用、堵塞、封闭疏散通道、安全出口或者有其他妨碍安全疏散行为的；</w:t>
            </w:r>
            <w:r>
              <w:rPr>
                <w:rFonts w:hint="eastAsia" w:ascii="方正仿宋_GBK" w:hAnsi="方正仿宋_GBK" w:eastAsia="方正仿宋_GBK" w:cs="方正仿宋_GBK"/>
                <w:color w:val="auto"/>
                <w:kern w:val="0"/>
                <w:sz w:val="24"/>
              </w:rPr>
              <w:br w:type="textWrapping"/>
            </w:r>
            <w:r>
              <w:rPr>
                <w:rFonts w:hint="eastAsia" w:ascii="方正仿宋_GBK" w:hAnsi="方正仿宋_GBK" w:eastAsia="方正仿宋_GBK" w:cs="方正仿宋_GBK"/>
                <w:color w:val="auto"/>
                <w:kern w:val="0"/>
                <w:sz w:val="24"/>
              </w:rPr>
              <w:t>（四）埋压、圈占、遮挡消火栓或者占用防火间距的；</w:t>
            </w:r>
            <w:r>
              <w:rPr>
                <w:rFonts w:hint="eastAsia" w:ascii="方正仿宋_GBK" w:hAnsi="方正仿宋_GBK" w:eastAsia="方正仿宋_GBK" w:cs="方正仿宋_GBK"/>
                <w:color w:val="auto"/>
                <w:kern w:val="0"/>
                <w:sz w:val="24"/>
              </w:rPr>
              <w:br w:type="textWrapping"/>
            </w:r>
            <w:r>
              <w:rPr>
                <w:rFonts w:hint="eastAsia" w:ascii="方正仿宋_GBK" w:hAnsi="方正仿宋_GBK" w:eastAsia="方正仿宋_GBK" w:cs="方正仿宋_GBK"/>
                <w:color w:val="auto"/>
                <w:kern w:val="0"/>
                <w:sz w:val="24"/>
              </w:rPr>
              <w:t>（五）占用、堵塞、封闭消防车通道，妨碍消防车通行的；</w:t>
            </w:r>
            <w:r>
              <w:rPr>
                <w:rFonts w:hint="eastAsia" w:ascii="方正仿宋_GBK" w:hAnsi="方正仿宋_GBK" w:eastAsia="方正仿宋_GBK" w:cs="方正仿宋_GBK"/>
                <w:color w:val="auto"/>
                <w:kern w:val="0"/>
                <w:sz w:val="24"/>
              </w:rPr>
              <w:br w:type="textWrapping"/>
            </w:r>
            <w:r>
              <w:rPr>
                <w:rFonts w:hint="eastAsia" w:ascii="方正仿宋_GBK" w:hAnsi="方正仿宋_GBK" w:eastAsia="方正仿宋_GBK" w:cs="方正仿宋_GBK"/>
                <w:color w:val="auto"/>
                <w:kern w:val="0"/>
                <w:sz w:val="24"/>
              </w:rPr>
              <w:t>（六）人员密集场所在门窗上设置影响逃生和灭火救援的障碍物的；</w:t>
            </w:r>
            <w:r>
              <w:rPr>
                <w:rFonts w:hint="eastAsia" w:ascii="方正仿宋_GBK" w:hAnsi="方正仿宋_GBK" w:eastAsia="方正仿宋_GBK" w:cs="方正仿宋_GBK"/>
                <w:color w:val="auto"/>
                <w:kern w:val="0"/>
                <w:sz w:val="24"/>
              </w:rPr>
              <w:br w:type="textWrapping"/>
            </w:r>
            <w:r>
              <w:rPr>
                <w:rFonts w:hint="eastAsia" w:ascii="方正仿宋_GBK" w:hAnsi="方正仿宋_GBK" w:eastAsia="方正仿宋_GBK" w:cs="方正仿宋_GBK"/>
                <w:color w:val="auto"/>
                <w:kern w:val="0"/>
                <w:sz w:val="24"/>
              </w:rPr>
              <w:t>（七）对火灾隐患经消防救援机构通知后不及时采取措施消除的。</w:t>
            </w:r>
            <w:r>
              <w:rPr>
                <w:rFonts w:hint="eastAsia" w:ascii="方正仿宋_GBK" w:hAnsi="方正仿宋_GBK" w:eastAsia="方正仿宋_GBK" w:cs="方正仿宋_GBK"/>
                <w:color w:val="auto"/>
                <w:kern w:val="0"/>
                <w:sz w:val="24"/>
              </w:rPr>
              <w:br w:type="textWrapping"/>
            </w:r>
            <w:r>
              <w:rPr>
                <w:rFonts w:hint="eastAsia" w:ascii="方正仿宋_GBK" w:hAnsi="方正仿宋_GBK" w:eastAsia="方正仿宋_GBK" w:cs="方正仿宋_GBK"/>
                <w:color w:val="auto"/>
                <w:kern w:val="0"/>
                <w:sz w:val="24"/>
              </w:rPr>
              <w:t>个人有前款第二项、第三项、第四项、第五项行为之一的，处警告或者五百元以下罚款。</w:t>
            </w:r>
            <w:r>
              <w:rPr>
                <w:rFonts w:hint="eastAsia" w:ascii="方正仿宋_GBK" w:hAnsi="方正仿宋_GBK" w:eastAsia="方正仿宋_GBK" w:cs="方正仿宋_GBK"/>
                <w:color w:val="auto"/>
                <w:kern w:val="0"/>
                <w:sz w:val="24"/>
              </w:rPr>
              <w:br w:type="textWrapping"/>
            </w:r>
            <w:r>
              <w:rPr>
                <w:rFonts w:hint="eastAsia" w:ascii="方正仿宋_GBK" w:hAnsi="方正仿宋_GBK" w:eastAsia="方正仿宋_GBK" w:cs="方正仿宋_GBK"/>
                <w:color w:val="auto"/>
                <w:kern w:val="0"/>
                <w:sz w:val="24"/>
              </w:rPr>
              <w:t>有本条第一款第三项、第四项、第五项、第六项行为，经责令改正拒不改正的，强制执行，所需费用由违法行为人承担。</w:t>
            </w:r>
          </w:p>
        </w:tc>
        <w:tc>
          <w:tcPr>
            <w:tcW w:w="2162" w:type="dxa"/>
            <w:vMerge w:val="restart"/>
            <w:tcBorders>
              <w:top w:val="single" w:color="auto" w:sz="4" w:space="0"/>
              <w:left w:val="single" w:color="auto" w:sz="4" w:space="0"/>
              <w:right w:val="single" w:color="auto" w:sz="4" w:space="0"/>
            </w:tcBorders>
            <w:noWrap w:val="0"/>
            <w:tcMar>
              <w:top w:w="17" w:type="dxa"/>
              <w:left w:w="17" w:type="dxa"/>
              <w:bottom w:w="17" w:type="dxa"/>
              <w:right w:w="17" w:type="dxa"/>
            </w:tcMar>
            <w:vAlign w:val="center"/>
          </w:tcPr>
          <w:p>
            <w:pPr>
              <w:keepNext w:val="0"/>
              <w:keepLines w:val="0"/>
              <w:pageBreakBefore w:val="0"/>
              <w:widowControl w:val="0"/>
              <w:tabs>
                <w:tab w:val="left" w:pos="420"/>
              </w:tabs>
              <w:kinsoku/>
              <w:wordWrap/>
              <w:overflowPunct/>
              <w:topLinePunct w:val="0"/>
              <w:autoSpaceDE/>
              <w:autoSpaceDN/>
              <w:bidi w:val="0"/>
              <w:adjustRightInd/>
              <w:snapToGrid/>
              <w:spacing w:line="320" w:lineRule="exact"/>
              <w:jc w:val="left"/>
              <w:textAlignment w:val="auto"/>
              <w:rPr>
                <w:rFonts w:hint="eastAsia" w:ascii="方正仿宋_GBK" w:hAnsi="方正仿宋_GBK" w:eastAsia="方正仿宋_GBK" w:cs="方正仿宋_GBK"/>
                <w:color w:val="auto"/>
                <w:kern w:val="0"/>
                <w:sz w:val="24"/>
              </w:rPr>
            </w:pPr>
            <w:r>
              <w:rPr>
                <w:rFonts w:hint="eastAsia" w:ascii="方正仿宋_GBK" w:hAnsi="方正仿宋_GBK" w:eastAsia="方正仿宋_GBK" w:cs="方正仿宋_GBK"/>
                <w:color w:val="auto"/>
                <w:kern w:val="0"/>
                <w:sz w:val="24"/>
              </w:rPr>
              <w:t>（</w:t>
            </w:r>
            <w:r>
              <w:rPr>
                <w:rFonts w:hint="eastAsia" w:ascii="方正仿宋_GBK" w:hAnsi="方正仿宋_GBK" w:eastAsia="方正仿宋_GBK" w:cs="方正仿宋_GBK"/>
                <w:color w:val="auto"/>
                <w:kern w:val="0"/>
                <w:sz w:val="24"/>
                <w:lang w:val="en-US" w:eastAsia="zh-CN"/>
              </w:rPr>
              <w:t>一</w:t>
            </w:r>
            <w:r>
              <w:rPr>
                <w:rFonts w:hint="eastAsia" w:ascii="方正仿宋_GBK" w:hAnsi="方正仿宋_GBK" w:eastAsia="方正仿宋_GBK" w:cs="方正仿宋_GBK"/>
                <w:color w:val="auto"/>
                <w:kern w:val="0"/>
                <w:sz w:val="24"/>
              </w:rPr>
              <w:t>）</w:t>
            </w:r>
            <w:r>
              <w:rPr>
                <w:rFonts w:hint="eastAsia" w:ascii="方正仿宋_GBK" w:hAnsi="方正仿宋_GBK" w:eastAsia="方正仿宋_GBK" w:cs="方正仿宋_GBK"/>
                <w:color w:val="auto"/>
                <w:kern w:val="0"/>
                <w:sz w:val="24"/>
                <w:lang w:val="en-US" w:eastAsia="zh-CN"/>
              </w:rPr>
              <w:t>责令立即改正</w:t>
            </w:r>
            <w:r>
              <w:rPr>
                <w:rFonts w:hint="eastAsia" w:ascii="方正仿宋_GBK" w:hAnsi="方正仿宋_GBK" w:eastAsia="方正仿宋_GBK" w:cs="方正仿宋_GBK"/>
                <w:color w:val="auto"/>
                <w:kern w:val="0"/>
                <w:sz w:val="24"/>
              </w:rPr>
              <w:t>；</w:t>
            </w:r>
          </w:p>
          <w:p>
            <w:pPr>
              <w:keepNext w:val="0"/>
              <w:keepLines w:val="0"/>
              <w:pageBreakBefore w:val="0"/>
              <w:widowControl w:val="0"/>
              <w:tabs>
                <w:tab w:val="left" w:pos="420"/>
              </w:tabs>
              <w:kinsoku/>
              <w:wordWrap/>
              <w:overflowPunct/>
              <w:topLinePunct w:val="0"/>
              <w:autoSpaceDE/>
              <w:autoSpaceDN/>
              <w:bidi w:val="0"/>
              <w:adjustRightInd/>
              <w:snapToGrid/>
              <w:spacing w:line="320" w:lineRule="exact"/>
              <w:jc w:val="left"/>
              <w:textAlignment w:val="auto"/>
              <w:rPr>
                <w:rFonts w:hint="eastAsia" w:ascii="方正仿宋_GBK" w:hAnsi="方正仿宋_GBK" w:eastAsia="方正仿宋_GBK" w:cs="方正仿宋_GBK"/>
                <w:color w:val="auto"/>
                <w:kern w:val="0"/>
                <w:sz w:val="24"/>
              </w:rPr>
            </w:pPr>
            <w:r>
              <w:rPr>
                <w:rFonts w:hint="eastAsia" w:ascii="方正仿宋_GBK" w:hAnsi="方正仿宋_GBK" w:eastAsia="方正仿宋_GBK" w:cs="方正仿宋_GBK"/>
                <w:color w:val="auto"/>
                <w:kern w:val="0"/>
                <w:sz w:val="24"/>
              </w:rPr>
              <w:t>（</w:t>
            </w:r>
            <w:r>
              <w:rPr>
                <w:rFonts w:hint="eastAsia" w:ascii="方正仿宋_GBK" w:hAnsi="方正仿宋_GBK" w:eastAsia="方正仿宋_GBK" w:cs="方正仿宋_GBK"/>
                <w:color w:val="auto"/>
                <w:kern w:val="0"/>
                <w:sz w:val="24"/>
                <w:lang w:val="en-US" w:eastAsia="zh-CN"/>
              </w:rPr>
              <w:t>二</w:t>
            </w:r>
            <w:r>
              <w:rPr>
                <w:rFonts w:hint="eastAsia" w:ascii="方正仿宋_GBK" w:hAnsi="方正仿宋_GBK" w:eastAsia="方正仿宋_GBK" w:cs="方正仿宋_GBK"/>
                <w:color w:val="auto"/>
                <w:kern w:val="0"/>
                <w:sz w:val="24"/>
              </w:rPr>
              <w:t>）</w:t>
            </w:r>
            <w:r>
              <w:rPr>
                <w:rFonts w:hint="eastAsia" w:ascii="方正仿宋_GBK" w:hAnsi="方正仿宋_GBK" w:eastAsia="方正仿宋_GBK" w:cs="方正仿宋_GBK"/>
                <w:color w:val="auto"/>
                <w:kern w:val="0"/>
                <w:sz w:val="24"/>
                <w:lang w:val="en-US" w:eastAsia="zh-CN"/>
              </w:rPr>
              <w:t>责令限期改正；</w:t>
            </w:r>
          </w:p>
          <w:p>
            <w:pPr>
              <w:keepNext w:val="0"/>
              <w:keepLines w:val="0"/>
              <w:pageBreakBefore w:val="0"/>
              <w:widowControl w:val="0"/>
              <w:tabs>
                <w:tab w:val="left" w:pos="420"/>
              </w:tabs>
              <w:kinsoku/>
              <w:wordWrap/>
              <w:overflowPunct/>
              <w:topLinePunct w:val="0"/>
              <w:autoSpaceDE/>
              <w:autoSpaceDN/>
              <w:bidi w:val="0"/>
              <w:adjustRightInd/>
              <w:snapToGrid/>
              <w:spacing w:line="320" w:lineRule="exact"/>
              <w:jc w:val="left"/>
              <w:textAlignment w:val="auto"/>
              <w:rPr>
                <w:rFonts w:hint="eastAsia" w:ascii="方正仿宋_GBK" w:hAnsi="方正仿宋_GBK" w:eastAsia="方正仿宋_GBK" w:cs="方正仿宋_GBK"/>
                <w:color w:val="auto"/>
                <w:kern w:val="0"/>
                <w:sz w:val="24"/>
              </w:rPr>
            </w:pPr>
            <w:r>
              <w:rPr>
                <w:rFonts w:hint="eastAsia" w:ascii="方正仿宋_GBK" w:hAnsi="方正仿宋_GBK" w:eastAsia="方正仿宋_GBK" w:cs="方正仿宋_GBK"/>
                <w:color w:val="auto"/>
                <w:kern w:val="0"/>
                <w:sz w:val="24"/>
              </w:rPr>
              <w:t>（</w:t>
            </w:r>
            <w:r>
              <w:rPr>
                <w:rFonts w:hint="eastAsia" w:ascii="方正仿宋_GBK" w:hAnsi="方正仿宋_GBK" w:eastAsia="方正仿宋_GBK" w:cs="方正仿宋_GBK"/>
                <w:color w:val="auto"/>
                <w:kern w:val="0"/>
                <w:sz w:val="24"/>
                <w:lang w:val="en-US" w:eastAsia="zh-CN"/>
              </w:rPr>
              <w:t>三</w:t>
            </w:r>
            <w:r>
              <w:rPr>
                <w:rFonts w:hint="eastAsia" w:ascii="方正仿宋_GBK" w:hAnsi="方正仿宋_GBK" w:eastAsia="方正仿宋_GBK" w:cs="方正仿宋_GBK"/>
                <w:color w:val="auto"/>
                <w:kern w:val="0"/>
                <w:sz w:val="24"/>
              </w:rPr>
              <w:t>）</w:t>
            </w:r>
            <w:r>
              <w:rPr>
                <w:rFonts w:hint="eastAsia" w:ascii="方正仿宋_GBK" w:hAnsi="方正仿宋_GBK" w:eastAsia="方正仿宋_GBK" w:cs="方正仿宋_GBK"/>
                <w:color w:val="auto"/>
                <w:kern w:val="0"/>
                <w:sz w:val="24"/>
                <w:lang w:val="en-US" w:eastAsia="zh-CN"/>
              </w:rPr>
              <w:t>警告；</w:t>
            </w:r>
          </w:p>
          <w:p>
            <w:pPr>
              <w:keepNext w:val="0"/>
              <w:keepLines w:val="0"/>
              <w:pageBreakBefore w:val="0"/>
              <w:widowControl w:val="0"/>
              <w:tabs>
                <w:tab w:val="left" w:pos="420"/>
              </w:tabs>
              <w:kinsoku/>
              <w:wordWrap/>
              <w:overflowPunct/>
              <w:topLinePunct w:val="0"/>
              <w:autoSpaceDE/>
              <w:autoSpaceDN/>
              <w:bidi w:val="0"/>
              <w:adjustRightInd/>
              <w:snapToGrid/>
              <w:spacing w:line="320" w:lineRule="exact"/>
              <w:jc w:val="left"/>
              <w:textAlignment w:val="auto"/>
              <w:rPr>
                <w:rFonts w:hint="eastAsia" w:ascii="方正仿宋_GBK" w:hAnsi="方正仿宋_GBK" w:eastAsia="方正仿宋_GBK" w:cs="方正仿宋_GBK"/>
                <w:color w:val="auto"/>
                <w:kern w:val="0"/>
                <w:sz w:val="24"/>
              </w:rPr>
            </w:pPr>
            <w:r>
              <w:rPr>
                <w:rFonts w:hint="eastAsia" w:ascii="方正仿宋_GBK" w:hAnsi="方正仿宋_GBK" w:eastAsia="方正仿宋_GBK" w:cs="方正仿宋_GBK"/>
                <w:color w:val="auto"/>
                <w:kern w:val="0"/>
                <w:sz w:val="24"/>
              </w:rPr>
              <w:t>（</w:t>
            </w:r>
            <w:r>
              <w:rPr>
                <w:rFonts w:hint="eastAsia" w:ascii="方正仿宋_GBK" w:hAnsi="方正仿宋_GBK" w:eastAsia="方正仿宋_GBK" w:cs="方正仿宋_GBK"/>
                <w:color w:val="auto"/>
                <w:kern w:val="0"/>
                <w:sz w:val="24"/>
                <w:lang w:val="en-US" w:eastAsia="zh-CN"/>
              </w:rPr>
              <w:t>四</w:t>
            </w:r>
            <w:r>
              <w:rPr>
                <w:rFonts w:hint="eastAsia" w:ascii="方正仿宋_GBK" w:hAnsi="方正仿宋_GBK" w:eastAsia="方正仿宋_GBK" w:cs="方正仿宋_GBK"/>
                <w:color w:val="auto"/>
                <w:kern w:val="0"/>
                <w:sz w:val="24"/>
              </w:rPr>
              <w:t>）罚款（对个人处以两千元以下罚款和对单位处以三万元以下的罚款）。</w:t>
            </w:r>
          </w:p>
        </w:tc>
      </w:tr>
      <w:tr>
        <w:tblPrEx>
          <w:tblLayout w:type="fixed"/>
          <w:tblCellMar>
            <w:top w:w="0" w:type="dxa"/>
            <w:left w:w="0" w:type="dxa"/>
            <w:bottom w:w="0" w:type="dxa"/>
            <w:right w:w="0" w:type="dxa"/>
          </w:tblCellMar>
        </w:tblPrEx>
        <w:trPr>
          <w:trHeight w:val="1974" w:hRule="atLeast"/>
          <w:jc w:val="center"/>
        </w:trPr>
        <w:tc>
          <w:tcPr>
            <w:tcW w:w="620" w:type="dxa"/>
            <w:vMerge w:val="continue"/>
            <w:tcBorders>
              <w:left w:val="single" w:color="auto" w:sz="4" w:space="0"/>
              <w:bottom w:val="single" w:color="auto" w:sz="4" w:space="0"/>
              <w:right w:val="single" w:color="auto" w:sz="4" w:space="0"/>
            </w:tcBorders>
            <w:noWrap w:val="0"/>
            <w:tcMar>
              <w:top w:w="17" w:type="dxa"/>
              <w:left w:w="17" w:type="dxa"/>
              <w:bottom w:w="17" w:type="dxa"/>
              <w:right w:w="17"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方正仿宋_GBK" w:hAnsi="方正仿宋_GBK" w:eastAsia="方正仿宋_GBK" w:cs="方正仿宋_GBK"/>
                <w:snapToGrid w:val="0"/>
                <w:color w:val="auto"/>
                <w:spacing w:val="6"/>
                <w:kern w:val="0"/>
                <w:sz w:val="24"/>
                <w:szCs w:val="30"/>
                <w:lang w:val="en-US" w:eastAsia="zh-CN" w:bidi="ar-SA"/>
              </w:rPr>
            </w:pPr>
          </w:p>
        </w:tc>
        <w:tc>
          <w:tcPr>
            <w:tcW w:w="885" w:type="dxa"/>
            <w:vMerge w:val="continue"/>
            <w:tcBorders>
              <w:left w:val="single" w:color="auto" w:sz="4" w:space="0"/>
              <w:bottom w:val="single" w:color="auto" w:sz="4" w:space="0"/>
              <w:right w:val="single" w:color="auto" w:sz="4" w:space="0"/>
            </w:tcBorders>
            <w:noWrap w:val="0"/>
            <w:tcMar>
              <w:top w:w="17" w:type="dxa"/>
              <w:left w:w="17" w:type="dxa"/>
              <w:bottom w:w="17" w:type="dxa"/>
              <w:right w:w="17"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方正仿宋_GBK" w:hAnsi="方正仿宋_GBK" w:eastAsia="方正仿宋_GBK" w:cs="方正仿宋_GBK"/>
                <w:snapToGrid w:val="0"/>
                <w:color w:val="auto"/>
                <w:spacing w:val="6"/>
                <w:kern w:val="0"/>
                <w:sz w:val="24"/>
                <w:szCs w:val="30"/>
                <w:lang w:val="en-US" w:eastAsia="zh-CN" w:bidi="ar-SA"/>
              </w:rPr>
            </w:pPr>
          </w:p>
        </w:tc>
        <w:tc>
          <w:tcPr>
            <w:tcW w:w="1050" w:type="dxa"/>
            <w:vMerge w:val="continue"/>
            <w:tcBorders>
              <w:left w:val="single" w:color="auto" w:sz="4" w:space="0"/>
              <w:bottom w:val="single" w:color="auto" w:sz="4" w:space="0"/>
              <w:right w:val="single" w:color="auto" w:sz="4" w:space="0"/>
            </w:tcBorders>
            <w:noWrap w:val="0"/>
            <w:tcMar>
              <w:top w:w="17" w:type="dxa"/>
              <w:left w:w="17" w:type="dxa"/>
              <w:bottom w:w="17" w:type="dxa"/>
              <w:right w:w="17"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方正仿宋_GBK" w:hAnsi="方正仿宋_GBK" w:eastAsia="方正仿宋_GBK" w:cs="方正仿宋_GBK"/>
                <w:snapToGrid w:val="0"/>
                <w:color w:val="auto"/>
                <w:spacing w:val="6"/>
                <w:kern w:val="0"/>
                <w:sz w:val="24"/>
                <w:szCs w:val="30"/>
                <w:lang w:val="en-US" w:eastAsia="zh-CN" w:bidi="ar-SA"/>
              </w:rPr>
            </w:pPr>
          </w:p>
        </w:tc>
        <w:tc>
          <w:tcPr>
            <w:tcW w:w="4965" w:type="dxa"/>
            <w:tcBorders>
              <w:top w:val="single" w:color="auto" w:sz="4" w:space="0"/>
              <w:left w:val="single" w:color="auto" w:sz="4" w:space="0"/>
              <w:bottom w:val="single" w:color="auto" w:sz="4" w:space="0"/>
              <w:right w:val="single" w:color="auto" w:sz="8" w:space="0"/>
            </w:tcBorders>
            <w:noWrap w:val="0"/>
            <w:tcMar>
              <w:top w:w="17" w:type="dxa"/>
              <w:left w:w="17" w:type="dxa"/>
              <w:bottom w:w="17" w:type="dxa"/>
              <w:right w:w="17" w:type="dxa"/>
            </w:tcMar>
            <w:vAlign w:val="center"/>
          </w:tcPr>
          <w:p>
            <w:pPr>
              <w:keepNext w:val="0"/>
              <w:keepLines w:val="0"/>
              <w:pageBreakBefore w:val="0"/>
              <w:widowControl w:val="0"/>
              <w:tabs>
                <w:tab w:val="left" w:pos="420"/>
              </w:tabs>
              <w:kinsoku/>
              <w:wordWrap/>
              <w:overflowPunct/>
              <w:topLinePunct w:val="0"/>
              <w:autoSpaceDE/>
              <w:autoSpaceDN/>
              <w:bidi w:val="0"/>
              <w:adjustRightInd/>
              <w:snapToGrid/>
              <w:spacing w:line="320" w:lineRule="exact"/>
              <w:textAlignment w:val="auto"/>
              <w:rPr>
                <w:rFonts w:hint="eastAsia" w:ascii="方正仿宋_GBK" w:hAnsi="方正仿宋_GBK" w:eastAsia="方正仿宋_GBK" w:cs="方正仿宋_GBK"/>
                <w:color w:val="auto"/>
                <w:kern w:val="0"/>
                <w:sz w:val="24"/>
              </w:rPr>
            </w:pPr>
            <w:r>
              <w:rPr>
                <w:rFonts w:hint="eastAsia" w:ascii="方正仿宋_GBK" w:hAnsi="方正仿宋_GBK" w:eastAsia="方正仿宋_GBK" w:cs="方正仿宋_GBK"/>
                <w:color w:val="auto"/>
                <w:kern w:val="0"/>
                <w:sz w:val="24"/>
              </w:rPr>
              <w:t>《中华人民共和国消防法》第六十</w:t>
            </w:r>
            <w:r>
              <w:rPr>
                <w:rFonts w:hint="eastAsia" w:ascii="方正仿宋_GBK" w:hAnsi="方正仿宋_GBK" w:eastAsia="方正仿宋_GBK" w:cs="方正仿宋_GBK"/>
                <w:color w:val="auto"/>
                <w:kern w:val="0"/>
                <w:sz w:val="24"/>
                <w:lang w:val="en-US" w:eastAsia="zh-CN"/>
              </w:rPr>
              <w:t>三</w:t>
            </w:r>
            <w:r>
              <w:rPr>
                <w:rFonts w:hint="eastAsia" w:ascii="方正仿宋_GBK" w:hAnsi="方正仿宋_GBK" w:eastAsia="方正仿宋_GBK" w:cs="方正仿宋_GBK"/>
                <w:color w:val="auto"/>
                <w:kern w:val="0"/>
                <w:sz w:val="24"/>
              </w:rPr>
              <w:t>条</w:t>
            </w:r>
            <w:r>
              <w:rPr>
                <w:rFonts w:hint="eastAsia" w:ascii="方正仿宋_GBK" w:hAnsi="方正仿宋_GBK" w:eastAsia="方正仿宋_GBK" w:cs="方正仿宋_GBK"/>
                <w:color w:val="auto"/>
                <w:kern w:val="0"/>
                <w:sz w:val="24"/>
                <w:lang w:val="en-US" w:eastAsia="zh-CN"/>
              </w:rPr>
              <w:t>第二项</w:t>
            </w:r>
            <w:r>
              <w:rPr>
                <w:rFonts w:hint="eastAsia" w:ascii="方正仿宋_GBK" w:hAnsi="方正仿宋_GBK" w:eastAsia="方正仿宋_GBK" w:cs="方正仿宋_GBK"/>
                <w:color w:val="auto"/>
                <w:kern w:val="0"/>
                <w:sz w:val="24"/>
              </w:rPr>
              <w:t>:</w:t>
            </w:r>
          </w:p>
          <w:p>
            <w:pPr>
              <w:keepNext w:val="0"/>
              <w:keepLines w:val="0"/>
              <w:pageBreakBefore w:val="0"/>
              <w:widowControl w:val="0"/>
              <w:tabs>
                <w:tab w:val="left" w:pos="420"/>
              </w:tabs>
              <w:kinsoku/>
              <w:wordWrap/>
              <w:overflowPunct/>
              <w:topLinePunct w:val="0"/>
              <w:autoSpaceDE/>
              <w:autoSpaceDN/>
              <w:bidi w:val="0"/>
              <w:adjustRightInd/>
              <w:snapToGrid/>
              <w:spacing w:line="320" w:lineRule="exact"/>
              <w:textAlignment w:val="auto"/>
              <w:rPr>
                <w:rFonts w:hint="eastAsia" w:ascii="方正仿宋_GBK" w:hAnsi="方正仿宋_GBK" w:eastAsia="方正仿宋_GBK" w:cs="方正仿宋_GBK"/>
                <w:color w:val="auto"/>
                <w:kern w:val="0"/>
                <w:sz w:val="24"/>
                <w:lang w:val="en-US" w:eastAsia="zh-CN"/>
              </w:rPr>
            </w:pPr>
            <w:r>
              <w:rPr>
                <w:rFonts w:hint="eastAsia" w:ascii="方正仿宋_GBK" w:hAnsi="方正仿宋_GBK" w:eastAsia="方正仿宋_GBK" w:cs="方正仿宋_GBK"/>
                <w:color w:val="auto"/>
                <w:kern w:val="0"/>
                <w:sz w:val="24"/>
                <w:lang w:val="en-US" w:eastAsia="zh-CN"/>
              </w:rPr>
              <w:t>违反本法规定，有下列行为之一的，处警告或者五百元以下罚款；情节严重的，处五日以下拘留：</w:t>
            </w:r>
          </w:p>
          <w:p>
            <w:pPr>
              <w:keepNext w:val="0"/>
              <w:keepLines w:val="0"/>
              <w:pageBreakBefore w:val="0"/>
              <w:widowControl w:val="0"/>
              <w:tabs>
                <w:tab w:val="left" w:pos="420"/>
              </w:tabs>
              <w:kinsoku/>
              <w:wordWrap/>
              <w:overflowPunct/>
              <w:topLinePunct w:val="0"/>
              <w:autoSpaceDE/>
              <w:autoSpaceDN/>
              <w:bidi w:val="0"/>
              <w:adjustRightInd/>
              <w:snapToGrid/>
              <w:spacing w:line="320" w:lineRule="exact"/>
              <w:textAlignment w:val="auto"/>
              <w:rPr>
                <w:rFonts w:hint="eastAsia" w:ascii="方正仿宋_GBK" w:hAnsi="方正仿宋_GBK" w:eastAsia="方正仿宋_GBK" w:cs="方正仿宋_GBK"/>
                <w:snapToGrid w:val="0"/>
                <w:color w:val="auto"/>
                <w:spacing w:val="6"/>
                <w:kern w:val="0"/>
                <w:sz w:val="24"/>
                <w:szCs w:val="30"/>
                <w:lang w:val="en-US" w:eastAsia="zh-CN" w:bidi="ar-SA"/>
              </w:rPr>
            </w:pPr>
            <w:r>
              <w:rPr>
                <w:rFonts w:hint="eastAsia" w:ascii="方正仿宋_GBK" w:hAnsi="方正仿宋_GBK" w:eastAsia="方正仿宋_GBK" w:cs="方正仿宋_GBK"/>
                <w:color w:val="auto"/>
                <w:kern w:val="0"/>
                <w:sz w:val="24"/>
                <w:lang w:val="en-US" w:eastAsia="zh-CN"/>
              </w:rPr>
              <w:t>违反规定使用明火作业或者在具有火灾、爆炸危险的场所吸烟、使用明火的</w:t>
            </w:r>
            <w:r>
              <w:rPr>
                <w:rFonts w:hint="eastAsia" w:ascii="方正仿宋_GBK" w:hAnsi="方正仿宋_GBK" w:eastAsia="方正仿宋_GBK" w:cs="方正仿宋_GBK"/>
                <w:color w:val="auto"/>
                <w:kern w:val="0"/>
                <w:sz w:val="24"/>
              </w:rPr>
              <w:t>。 </w:t>
            </w:r>
          </w:p>
        </w:tc>
        <w:tc>
          <w:tcPr>
            <w:tcW w:w="2162" w:type="dxa"/>
            <w:vMerge w:val="continue"/>
            <w:tcBorders>
              <w:left w:val="single" w:color="auto" w:sz="4" w:space="0"/>
              <w:bottom w:val="single" w:color="auto" w:sz="4" w:space="0"/>
              <w:right w:val="single" w:color="auto" w:sz="4" w:space="0"/>
            </w:tcBorders>
            <w:noWrap w:val="0"/>
            <w:tcMar>
              <w:top w:w="17" w:type="dxa"/>
              <w:left w:w="17" w:type="dxa"/>
              <w:bottom w:w="17" w:type="dxa"/>
              <w:right w:w="17" w:type="dxa"/>
            </w:tcMar>
            <w:vAlign w:val="center"/>
          </w:tcPr>
          <w:p>
            <w:pPr>
              <w:keepNext w:val="0"/>
              <w:keepLines w:val="0"/>
              <w:pageBreakBefore w:val="0"/>
              <w:widowControl w:val="0"/>
              <w:tabs>
                <w:tab w:val="left" w:pos="420"/>
              </w:tabs>
              <w:kinsoku/>
              <w:wordWrap/>
              <w:overflowPunct/>
              <w:topLinePunct w:val="0"/>
              <w:autoSpaceDE/>
              <w:autoSpaceDN/>
              <w:bidi w:val="0"/>
              <w:adjustRightInd/>
              <w:snapToGrid/>
              <w:spacing w:line="240" w:lineRule="exact"/>
              <w:textAlignment w:val="auto"/>
              <w:rPr>
                <w:rFonts w:hint="eastAsia" w:ascii="方正仿宋_GBK" w:hAnsi="方正仿宋_GBK" w:eastAsia="方正仿宋_GBK" w:cs="方正仿宋_GBK"/>
                <w:snapToGrid w:val="0"/>
                <w:color w:val="auto"/>
                <w:spacing w:val="6"/>
                <w:kern w:val="0"/>
                <w:sz w:val="24"/>
                <w:szCs w:val="30"/>
                <w:lang w:val="en-US" w:eastAsia="zh-CN" w:bidi="ar-SA"/>
              </w:rPr>
            </w:pPr>
          </w:p>
        </w:tc>
      </w:tr>
      <w:tr>
        <w:tblPrEx>
          <w:tblLayout w:type="fixed"/>
          <w:tblCellMar>
            <w:top w:w="0" w:type="dxa"/>
            <w:left w:w="0" w:type="dxa"/>
            <w:bottom w:w="0" w:type="dxa"/>
            <w:right w:w="0" w:type="dxa"/>
          </w:tblCellMar>
        </w:tblPrEx>
        <w:trPr>
          <w:trHeight w:val="2554" w:hRule="atLeast"/>
          <w:jc w:val="center"/>
        </w:trPr>
        <w:tc>
          <w:tcPr>
            <w:tcW w:w="620" w:type="dxa"/>
            <w:vMerge w:val="restart"/>
            <w:tcBorders>
              <w:top w:val="single" w:color="auto" w:sz="4" w:space="0"/>
              <w:left w:val="single" w:color="auto" w:sz="4" w:space="0"/>
              <w:right w:val="single" w:color="auto" w:sz="4" w:space="0"/>
            </w:tcBorders>
            <w:noWrap w:val="0"/>
            <w:tcMar>
              <w:top w:w="17" w:type="dxa"/>
              <w:left w:w="17" w:type="dxa"/>
              <w:bottom w:w="17" w:type="dxa"/>
              <w:right w:w="17"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方正仿宋_GBK" w:hAnsi="方正仿宋_GBK" w:eastAsia="方正仿宋_GBK" w:cs="方正仿宋_GBK"/>
                <w:color w:val="auto"/>
                <w:kern w:val="0"/>
                <w:sz w:val="24"/>
              </w:rPr>
            </w:pPr>
            <w:r>
              <w:rPr>
                <w:rFonts w:hint="eastAsia" w:ascii="方正仿宋_GBK" w:hAnsi="方正仿宋_GBK" w:eastAsia="方正仿宋_GBK" w:cs="方正仿宋_GBK"/>
                <w:color w:val="auto"/>
                <w:kern w:val="0"/>
                <w:sz w:val="24"/>
              </w:rPr>
              <w:t>消防监督管理行政处罚</w:t>
            </w:r>
          </w:p>
        </w:tc>
        <w:tc>
          <w:tcPr>
            <w:tcW w:w="885" w:type="dxa"/>
            <w:vMerge w:val="restart"/>
            <w:tcBorders>
              <w:top w:val="single" w:color="auto" w:sz="4" w:space="0"/>
              <w:left w:val="single" w:color="auto" w:sz="4" w:space="0"/>
              <w:right w:val="single" w:color="auto" w:sz="4" w:space="0"/>
            </w:tcBorders>
            <w:noWrap w:val="0"/>
            <w:tcMar>
              <w:top w:w="17" w:type="dxa"/>
              <w:left w:w="17" w:type="dxa"/>
              <w:bottom w:w="17" w:type="dxa"/>
              <w:right w:w="17"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方正仿宋_GBK" w:hAnsi="方正仿宋_GBK" w:eastAsia="方正仿宋_GBK" w:cs="方正仿宋_GBK"/>
                <w:color w:val="auto"/>
                <w:kern w:val="0"/>
                <w:sz w:val="24"/>
              </w:rPr>
            </w:pPr>
            <w:r>
              <w:rPr>
                <w:rFonts w:hint="eastAsia" w:ascii="方正仿宋_GBK" w:hAnsi="方正仿宋_GBK" w:eastAsia="方正仿宋_GBK" w:cs="方正仿宋_GBK"/>
                <w:color w:val="auto"/>
                <w:kern w:val="0"/>
                <w:sz w:val="24"/>
                <w:lang w:val="en-US" w:eastAsia="zh-CN"/>
              </w:rPr>
              <w:t>大埔县</w:t>
            </w:r>
            <w:r>
              <w:rPr>
                <w:rFonts w:hint="eastAsia" w:ascii="方正仿宋_GBK" w:hAnsi="方正仿宋_GBK" w:eastAsia="方正仿宋_GBK" w:cs="方正仿宋_GBK"/>
                <w:color w:val="auto"/>
                <w:kern w:val="0"/>
                <w:sz w:val="24"/>
              </w:rPr>
              <w:t>消防救援</w:t>
            </w:r>
            <w:r>
              <w:rPr>
                <w:rFonts w:hint="eastAsia" w:ascii="方正仿宋_GBK" w:hAnsi="方正仿宋_GBK" w:eastAsia="方正仿宋_GBK" w:cs="方正仿宋_GBK"/>
                <w:color w:val="auto"/>
                <w:kern w:val="0"/>
                <w:sz w:val="24"/>
                <w:lang w:val="en-US" w:eastAsia="zh-CN"/>
              </w:rPr>
              <w:t>大队</w:t>
            </w:r>
          </w:p>
        </w:tc>
        <w:tc>
          <w:tcPr>
            <w:tcW w:w="1050" w:type="dxa"/>
            <w:vMerge w:val="restart"/>
            <w:tcBorders>
              <w:top w:val="single" w:color="auto" w:sz="4" w:space="0"/>
              <w:left w:val="single" w:color="auto" w:sz="4" w:space="0"/>
              <w:right w:val="single" w:color="auto" w:sz="4" w:space="0"/>
            </w:tcBorders>
            <w:noWrap w:val="0"/>
            <w:tcMar>
              <w:top w:w="17" w:type="dxa"/>
              <w:left w:w="17" w:type="dxa"/>
              <w:bottom w:w="17" w:type="dxa"/>
              <w:right w:w="17"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方正仿宋_GBK" w:hAnsi="方正仿宋_GBK" w:eastAsia="方正仿宋_GBK" w:cs="方正仿宋_GBK"/>
                <w:color w:val="auto"/>
                <w:kern w:val="0"/>
                <w:sz w:val="24"/>
              </w:rPr>
            </w:pPr>
            <w:r>
              <w:rPr>
                <w:rFonts w:hint="eastAsia" w:ascii="方正仿宋_GBK" w:hAnsi="方正仿宋_GBK" w:eastAsia="方正仿宋_GBK" w:cs="方正仿宋_GBK"/>
                <w:color w:val="auto"/>
                <w:kern w:val="0"/>
                <w:sz w:val="24"/>
              </w:rPr>
              <w:t>镇人民</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方正仿宋_GBK" w:hAnsi="方正仿宋_GBK" w:eastAsia="方正仿宋_GBK" w:cs="方正仿宋_GBK"/>
                <w:color w:val="auto"/>
                <w:kern w:val="0"/>
                <w:sz w:val="24"/>
              </w:rPr>
            </w:pPr>
            <w:r>
              <w:rPr>
                <w:rFonts w:hint="eastAsia" w:ascii="方正仿宋_GBK" w:hAnsi="方正仿宋_GBK" w:eastAsia="方正仿宋_GBK" w:cs="方正仿宋_GBK"/>
                <w:color w:val="auto"/>
                <w:kern w:val="0"/>
                <w:sz w:val="24"/>
              </w:rPr>
              <w:t>政府</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方正仿宋_GBK" w:hAnsi="方正仿宋_GBK" w:eastAsia="方正仿宋_GBK" w:cs="方正仿宋_GBK"/>
                <w:color w:val="auto"/>
                <w:kern w:val="0"/>
                <w:sz w:val="24"/>
              </w:rPr>
            </w:pPr>
          </w:p>
        </w:tc>
        <w:tc>
          <w:tcPr>
            <w:tcW w:w="4965" w:type="dxa"/>
            <w:tcBorders>
              <w:top w:val="single" w:color="auto" w:sz="4" w:space="0"/>
              <w:left w:val="single" w:color="auto" w:sz="4" w:space="0"/>
              <w:bottom w:val="single" w:color="auto" w:sz="4" w:space="0"/>
              <w:right w:val="single" w:color="auto" w:sz="8" w:space="0"/>
            </w:tcBorders>
            <w:noWrap w:val="0"/>
            <w:tcMar>
              <w:top w:w="17" w:type="dxa"/>
              <w:left w:w="17" w:type="dxa"/>
              <w:bottom w:w="17" w:type="dxa"/>
              <w:right w:w="17" w:type="dxa"/>
            </w:tcMar>
            <w:vAlign w:val="center"/>
          </w:tcPr>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方正仿宋_GBK" w:hAnsi="方正仿宋_GBK" w:eastAsia="方正仿宋_GBK" w:cs="方正仿宋_GBK"/>
                <w:color w:val="auto"/>
                <w:kern w:val="0"/>
                <w:sz w:val="24"/>
              </w:rPr>
            </w:pPr>
            <w:r>
              <w:rPr>
                <w:rFonts w:hint="eastAsia" w:ascii="方正仿宋_GBK" w:hAnsi="方正仿宋_GBK" w:eastAsia="方正仿宋_GBK" w:cs="方正仿宋_GBK"/>
                <w:color w:val="auto"/>
                <w:kern w:val="0"/>
                <w:sz w:val="24"/>
              </w:rPr>
              <w:t>《广东</w:t>
            </w:r>
            <w:r>
              <w:rPr>
                <w:rFonts w:hint="eastAsia" w:ascii="方正仿宋_GBK" w:hAnsi="方正仿宋_GBK" w:eastAsia="方正仿宋_GBK" w:cs="方正仿宋_GBK"/>
                <w:color w:val="auto"/>
                <w:kern w:val="0"/>
                <w:sz w:val="24"/>
                <w:lang w:eastAsia="zh-CN"/>
              </w:rPr>
              <w:t>省</w:t>
            </w:r>
            <w:r>
              <w:rPr>
                <w:rFonts w:hint="eastAsia" w:ascii="方正仿宋_GBK" w:hAnsi="方正仿宋_GBK" w:eastAsia="方正仿宋_GBK" w:cs="方正仿宋_GBK"/>
                <w:color w:val="auto"/>
                <w:kern w:val="0"/>
                <w:sz w:val="24"/>
              </w:rPr>
              <w:t>实施〈中华人民共和国消防法〉办法》第四十四条：</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方正仿宋_GBK" w:hAnsi="方正仿宋_GBK" w:eastAsia="方正仿宋_GBK" w:cs="方正仿宋_GBK"/>
                <w:color w:val="auto"/>
                <w:kern w:val="0"/>
                <w:sz w:val="24"/>
              </w:rPr>
            </w:pPr>
            <w:r>
              <w:rPr>
                <w:rFonts w:hint="eastAsia" w:ascii="方正仿宋_GBK" w:hAnsi="方正仿宋_GBK" w:eastAsia="方正仿宋_GBK" w:cs="方正仿宋_GBK"/>
                <w:color w:val="auto"/>
                <w:kern w:val="0"/>
                <w:sz w:val="24"/>
              </w:rPr>
              <w:t>物业服务人违反本办法第十二条第一款第一项、第二项、第五项以及第三款规定，未履行消防安全责任的，由消防救援机构或者住房城乡建设主管部门按照职权责令限期改正；逾期不改正的，处五千元以上二万元以下罚款；情节严重的，处二万元以上五万元以下罚款。</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方正仿宋_GBK" w:hAnsi="方正仿宋_GBK" w:eastAsia="方正仿宋_GBK" w:cs="方正仿宋_GBK"/>
                <w:color w:val="auto"/>
                <w:kern w:val="0"/>
                <w:sz w:val="24"/>
              </w:rPr>
            </w:pPr>
            <w:r>
              <w:rPr>
                <w:rFonts w:hint="eastAsia" w:ascii="方正仿宋_GBK" w:hAnsi="方正仿宋_GBK" w:eastAsia="方正仿宋_GBK" w:cs="方正仿宋_GBK"/>
                <w:color w:val="auto"/>
                <w:kern w:val="0"/>
                <w:sz w:val="24"/>
              </w:rPr>
              <w:t>违反前款规定，物业服务人为个人的，处警告或者五百元以下罚款。</w:t>
            </w:r>
          </w:p>
        </w:tc>
        <w:tc>
          <w:tcPr>
            <w:tcW w:w="2162" w:type="dxa"/>
            <w:vMerge w:val="restart"/>
            <w:tcBorders>
              <w:top w:val="single" w:color="auto" w:sz="4" w:space="0"/>
              <w:left w:val="nil"/>
              <w:right w:val="single" w:color="auto" w:sz="8" w:space="0"/>
            </w:tcBorders>
            <w:noWrap w:val="0"/>
            <w:tcMar>
              <w:top w:w="17" w:type="dxa"/>
              <w:left w:w="17" w:type="dxa"/>
              <w:bottom w:w="17" w:type="dxa"/>
              <w:right w:w="17" w:type="dxa"/>
            </w:tcMar>
            <w:vAlign w:val="center"/>
          </w:tcPr>
          <w:p>
            <w:pPr>
              <w:keepNext w:val="0"/>
              <w:keepLines w:val="0"/>
              <w:pageBreakBefore w:val="0"/>
              <w:widowControl w:val="0"/>
              <w:tabs>
                <w:tab w:val="left" w:pos="420"/>
              </w:tabs>
              <w:kinsoku/>
              <w:wordWrap/>
              <w:overflowPunct/>
              <w:topLinePunct w:val="0"/>
              <w:autoSpaceDE/>
              <w:autoSpaceDN/>
              <w:bidi w:val="0"/>
              <w:adjustRightInd/>
              <w:snapToGrid/>
              <w:spacing w:line="240" w:lineRule="exact"/>
              <w:textAlignment w:val="auto"/>
              <w:rPr>
                <w:rFonts w:hint="eastAsia" w:ascii="方正仿宋_GBK" w:hAnsi="方正仿宋_GBK" w:eastAsia="方正仿宋_GBK" w:cs="方正仿宋_GBK"/>
                <w:color w:val="auto"/>
                <w:kern w:val="0"/>
                <w:sz w:val="24"/>
              </w:rPr>
            </w:pPr>
            <w:r>
              <w:rPr>
                <w:rFonts w:hint="eastAsia" w:ascii="方正仿宋_GBK" w:hAnsi="方正仿宋_GBK" w:eastAsia="方正仿宋_GBK" w:cs="方正仿宋_GBK"/>
                <w:color w:val="auto"/>
                <w:kern w:val="0"/>
                <w:sz w:val="24"/>
              </w:rPr>
              <w:t>（</w:t>
            </w:r>
            <w:r>
              <w:rPr>
                <w:rFonts w:hint="eastAsia" w:ascii="方正仿宋_GBK" w:hAnsi="方正仿宋_GBK" w:eastAsia="方正仿宋_GBK" w:cs="方正仿宋_GBK"/>
                <w:color w:val="auto"/>
                <w:kern w:val="0"/>
                <w:sz w:val="24"/>
                <w:lang w:val="en-US" w:eastAsia="zh-CN"/>
              </w:rPr>
              <w:t>一</w:t>
            </w:r>
            <w:r>
              <w:rPr>
                <w:rFonts w:hint="eastAsia" w:ascii="方正仿宋_GBK" w:hAnsi="方正仿宋_GBK" w:eastAsia="方正仿宋_GBK" w:cs="方正仿宋_GBK"/>
                <w:color w:val="auto"/>
                <w:kern w:val="0"/>
                <w:sz w:val="24"/>
              </w:rPr>
              <w:t>）</w:t>
            </w:r>
            <w:r>
              <w:rPr>
                <w:rFonts w:hint="eastAsia" w:ascii="方正仿宋_GBK" w:hAnsi="方正仿宋_GBK" w:eastAsia="方正仿宋_GBK" w:cs="方正仿宋_GBK"/>
                <w:color w:val="auto"/>
                <w:kern w:val="0"/>
                <w:sz w:val="24"/>
                <w:lang w:val="en-US" w:eastAsia="zh-CN"/>
              </w:rPr>
              <w:t>责令立即改正</w:t>
            </w:r>
            <w:r>
              <w:rPr>
                <w:rFonts w:hint="eastAsia" w:ascii="方正仿宋_GBK" w:hAnsi="方正仿宋_GBK" w:eastAsia="方正仿宋_GBK" w:cs="方正仿宋_GBK"/>
                <w:color w:val="auto"/>
                <w:kern w:val="0"/>
                <w:sz w:val="24"/>
              </w:rPr>
              <w:t>；</w:t>
            </w:r>
          </w:p>
          <w:p>
            <w:pPr>
              <w:keepNext w:val="0"/>
              <w:keepLines w:val="0"/>
              <w:pageBreakBefore w:val="0"/>
              <w:widowControl w:val="0"/>
              <w:tabs>
                <w:tab w:val="left" w:pos="420"/>
              </w:tabs>
              <w:kinsoku/>
              <w:wordWrap/>
              <w:overflowPunct/>
              <w:topLinePunct w:val="0"/>
              <w:autoSpaceDE/>
              <w:autoSpaceDN/>
              <w:bidi w:val="0"/>
              <w:adjustRightInd/>
              <w:snapToGrid/>
              <w:spacing w:line="240" w:lineRule="exact"/>
              <w:textAlignment w:val="auto"/>
              <w:rPr>
                <w:rFonts w:hint="eastAsia" w:ascii="方正仿宋_GBK" w:hAnsi="方正仿宋_GBK" w:eastAsia="方正仿宋_GBK" w:cs="方正仿宋_GBK"/>
                <w:color w:val="auto"/>
                <w:kern w:val="0"/>
                <w:sz w:val="24"/>
              </w:rPr>
            </w:pPr>
            <w:r>
              <w:rPr>
                <w:rFonts w:hint="eastAsia" w:ascii="方正仿宋_GBK" w:hAnsi="方正仿宋_GBK" w:eastAsia="方正仿宋_GBK" w:cs="方正仿宋_GBK"/>
                <w:color w:val="auto"/>
                <w:kern w:val="0"/>
                <w:sz w:val="24"/>
              </w:rPr>
              <w:t>（</w:t>
            </w:r>
            <w:r>
              <w:rPr>
                <w:rFonts w:hint="eastAsia" w:ascii="方正仿宋_GBK" w:hAnsi="方正仿宋_GBK" w:eastAsia="方正仿宋_GBK" w:cs="方正仿宋_GBK"/>
                <w:color w:val="auto"/>
                <w:kern w:val="0"/>
                <w:sz w:val="24"/>
                <w:lang w:val="en-US" w:eastAsia="zh-CN"/>
              </w:rPr>
              <w:t>二</w:t>
            </w:r>
            <w:r>
              <w:rPr>
                <w:rFonts w:hint="eastAsia" w:ascii="方正仿宋_GBK" w:hAnsi="方正仿宋_GBK" w:eastAsia="方正仿宋_GBK" w:cs="方正仿宋_GBK"/>
                <w:color w:val="auto"/>
                <w:kern w:val="0"/>
                <w:sz w:val="24"/>
              </w:rPr>
              <w:t>）</w:t>
            </w:r>
            <w:r>
              <w:rPr>
                <w:rFonts w:hint="eastAsia" w:ascii="方正仿宋_GBK" w:hAnsi="方正仿宋_GBK" w:eastAsia="方正仿宋_GBK" w:cs="方正仿宋_GBK"/>
                <w:color w:val="auto"/>
                <w:kern w:val="0"/>
                <w:sz w:val="24"/>
                <w:lang w:val="en-US" w:eastAsia="zh-CN"/>
              </w:rPr>
              <w:t>责令限期改正；</w:t>
            </w:r>
          </w:p>
          <w:p>
            <w:pPr>
              <w:keepNext w:val="0"/>
              <w:keepLines w:val="0"/>
              <w:pageBreakBefore w:val="0"/>
              <w:widowControl w:val="0"/>
              <w:tabs>
                <w:tab w:val="left" w:pos="420"/>
              </w:tabs>
              <w:kinsoku/>
              <w:wordWrap/>
              <w:overflowPunct/>
              <w:topLinePunct w:val="0"/>
              <w:autoSpaceDE/>
              <w:autoSpaceDN/>
              <w:bidi w:val="0"/>
              <w:adjustRightInd/>
              <w:snapToGrid/>
              <w:spacing w:line="240" w:lineRule="exact"/>
              <w:textAlignment w:val="auto"/>
              <w:rPr>
                <w:rFonts w:hint="eastAsia" w:ascii="方正仿宋_GBK" w:hAnsi="方正仿宋_GBK" w:eastAsia="方正仿宋_GBK" w:cs="方正仿宋_GBK"/>
                <w:color w:val="auto"/>
                <w:kern w:val="0"/>
                <w:sz w:val="24"/>
              </w:rPr>
            </w:pPr>
            <w:r>
              <w:rPr>
                <w:rFonts w:hint="eastAsia" w:ascii="方正仿宋_GBK" w:hAnsi="方正仿宋_GBK" w:eastAsia="方正仿宋_GBK" w:cs="方正仿宋_GBK"/>
                <w:color w:val="auto"/>
                <w:kern w:val="0"/>
                <w:sz w:val="24"/>
              </w:rPr>
              <w:t>（</w:t>
            </w:r>
            <w:r>
              <w:rPr>
                <w:rFonts w:hint="eastAsia" w:ascii="方正仿宋_GBK" w:hAnsi="方正仿宋_GBK" w:eastAsia="方正仿宋_GBK" w:cs="方正仿宋_GBK"/>
                <w:color w:val="auto"/>
                <w:kern w:val="0"/>
                <w:sz w:val="24"/>
                <w:lang w:val="en-US" w:eastAsia="zh-CN"/>
              </w:rPr>
              <w:t>三</w:t>
            </w:r>
            <w:r>
              <w:rPr>
                <w:rFonts w:hint="eastAsia" w:ascii="方正仿宋_GBK" w:hAnsi="方正仿宋_GBK" w:eastAsia="方正仿宋_GBK" w:cs="方正仿宋_GBK"/>
                <w:color w:val="auto"/>
                <w:kern w:val="0"/>
                <w:sz w:val="24"/>
              </w:rPr>
              <w:t>）</w:t>
            </w:r>
            <w:r>
              <w:rPr>
                <w:rFonts w:hint="eastAsia" w:ascii="方正仿宋_GBK" w:hAnsi="方正仿宋_GBK" w:eastAsia="方正仿宋_GBK" w:cs="方正仿宋_GBK"/>
                <w:color w:val="auto"/>
                <w:kern w:val="0"/>
                <w:sz w:val="24"/>
                <w:lang w:val="en-US" w:eastAsia="zh-CN"/>
              </w:rPr>
              <w:t>警告；</w:t>
            </w:r>
          </w:p>
          <w:p>
            <w:pPr>
              <w:keepNext w:val="0"/>
              <w:keepLines w:val="0"/>
              <w:pageBreakBefore w:val="0"/>
              <w:widowControl w:val="0"/>
              <w:tabs>
                <w:tab w:val="left" w:pos="420"/>
              </w:tabs>
              <w:kinsoku/>
              <w:wordWrap/>
              <w:overflowPunct/>
              <w:topLinePunct w:val="0"/>
              <w:autoSpaceDE/>
              <w:autoSpaceDN/>
              <w:bidi w:val="0"/>
              <w:adjustRightInd/>
              <w:snapToGrid/>
              <w:spacing w:line="240" w:lineRule="exact"/>
              <w:textAlignment w:val="auto"/>
              <w:rPr>
                <w:rFonts w:hint="eastAsia" w:ascii="方正仿宋_GBK" w:hAnsi="方正仿宋_GBK" w:eastAsia="方正仿宋_GBK" w:cs="方正仿宋_GBK"/>
                <w:color w:val="auto"/>
                <w:kern w:val="0"/>
                <w:sz w:val="24"/>
              </w:rPr>
            </w:pPr>
            <w:r>
              <w:rPr>
                <w:rFonts w:hint="eastAsia" w:ascii="方正仿宋_GBK" w:hAnsi="方正仿宋_GBK" w:eastAsia="方正仿宋_GBK" w:cs="方正仿宋_GBK"/>
                <w:color w:val="auto"/>
                <w:kern w:val="0"/>
                <w:sz w:val="24"/>
              </w:rPr>
              <w:t>（</w:t>
            </w:r>
            <w:r>
              <w:rPr>
                <w:rFonts w:hint="eastAsia" w:ascii="方正仿宋_GBK" w:hAnsi="方正仿宋_GBK" w:eastAsia="方正仿宋_GBK" w:cs="方正仿宋_GBK"/>
                <w:color w:val="auto"/>
                <w:kern w:val="0"/>
                <w:sz w:val="24"/>
                <w:lang w:val="en-US" w:eastAsia="zh-CN"/>
              </w:rPr>
              <w:t>四</w:t>
            </w:r>
            <w:r>
              <w:rPr>
                <w:rFonts w:hint="eastAsia" w:ascii="方正仿宋_GBK" w:hAnsi="方正仿宋_GBK" w:eastAsia="方正仿宋_GBK" w:cs="方正仿宋_GBK"/>
                <w:color w:val="auto"/>
                <w:kern w:val="0"/>
                <w:sz w:val="24"/>
              </w:rPr>
              <w:t>）罚款（对个人处以两千元以下罚款和对单位处以三万元以下的罚款）。</w:t>
            </w:r>
          </w:p>
        </w:tc>
      </w:tr>
      <w:tr>
        <w:tblPrEx>
          <w:tblLayout w:type="fixed"/>
          <w:tblCellMar>
            <w:top w:w="0" w:type="dxa"/>
            <w:left w:w="0" w:type="dxa"/>
            <w:bottom w:w="0" w:type="dxa"/>
            <w:right w:w="0" w:type="dxa"/>
          </w:tblCellMar>
        </w:tblPrEx>
        <w:trPr>
          <w:trHeight w:val="2279" w:hRule="atLeast"/>
          <w:jc w:val="center"/>
        </w:trPr>
        <w:tc>
          <w:tcPr>
            <w:tcW w:w="620" w:type="dxa"/>
            <w:vMerge w:val="continue"/>
            <w:tcBorders>
              <w:left w:val="single" w:color="auto" w:sz="4" w:space="0"/>
              <w:right w:val="single" w:color="auto" w:sz="4" w:space="0"/>
            </w:tcBorders>
            <w:noWrap w:val="0"/>
            <w:tcMar>
              <w:top w:w="17" w:type="dxa"/>
              <w:left w:w="17" w:type="dxa"/>
              <w:bottom w:w="17" w:type="dxa"/>
              <w:right w:w="17"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方正仿宋_GBK" w:hAnsi="方正仿宋_GBK" w:eastAsia="方正仿宋_GBK" w:cs="方正仿宋_GBK"/>
                <w:snapToGrid w:val="0"/>
                <w:color w:val="auto"/>
                <w:spacing w:val="6"/>
                <w:kern w:val="0"/>
                <w:sz w:val="24"/>
                <w:szCs w:val="30"/>
                <w:lang w:val="en-US" w:eastAsia="zh-CN" w:bidi="ar-SA"/>
              </w:rPr>
            </w:pPr>
          </w:p>
        </w:tc>
        <w:tc>
          <w:tcPr>
            <w:tcW w:w="885" w:type="dxa"/>
            <w:vMerge w:val="continue"/>
            <w:tcBorders>
              <w:left w:val="single" w:color="auto" w:sz="4" w:space="0"/>
              <w:right w:val="single" w:color="auto" w:sz="4" w:space="0"/>
            </w:tcBorders>
            <w:noWrap w:val="0"/>
            <w:tcMar>
              <w:top w:w="17" w:type="dxa"/>
              <w:left w:w="17" w:type="dxa"/>
              <w:bottom w:w="17" w:type="dxa"/>
              <w:right w:w="17"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方正仿宋_GBK" w:hAnsi="方正仿宋_GBK" w:eastAsia="方正仿宋_GBK" w:cs="方正仿宋_GBK"/>
                <w:snapToGrid w:val="0"/>
                <w:color w:val="auto"/>
                <w:spacing w:val="6"/>
                <w:kern w:val="0"/>
                <w:sz w:val="24"/>
                <w:szCs w:val="30"/>
                <w:lang w:val="en-US" w:eastAsia="zh-CN" w:bidi="ar-SA"/>
              </w:rPr>
            </w:pPr>
          </w:p>
        </w:tc>
        <w:tc>
          <w:tcPr>
            <w:tcW w:w="1050" w:type="dxa"/>
            <w:vMerge w:val="continue"/>
            <w:tcBorders>
              <w:left w:val="single" w:color="auto" w:sz="4" w:space="0"/>
              <w:right w:val="single" w:color="auto" w:sz="4" w:space="0"/>
            </w:tcBorders>
            <w:noWrap w:val="0"/>
            <w:tcMar>
              <w:top w:w="17" w:type="dxa"/>
              <w:left w:w="17" w:type="dxa"/>
              <w:bottom w:w="17" w:type="dxa"/>
              <w:right w:w="17"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方正仿宋_GBK" w:hAnsi="方正仿宋_GBK" w:eastAsia="方正仿宋_GBK" w:cs="方正仿宋_GBK"/>
                <w:snapToGrid w:val="0"/>
                <w:color w:val="auto"/>
                <w:spacing w:val="6"/>
                <w:kern w:val="0"/>
                <w:sz w:val="24"/>
                <w:szCs w:val="30"/>
                <w:lang w:val="en-US" w:eastAsia="zh-CN" w:bidi="ar-SA"/>
              </w:rPr>
            </w:pPr>
          </w:p>
        </w:tc>
        <w:tc>
          <w:tcPr>
            <w:tcW w:w="4965" w:type="dxa"/>
            <w:tcBorders>
              <w:top w:val="single" w:color="auto" w:sz="4" w:space="0"/>
              <w:left w:val="single" w:color="auto" w:sz="4" w:space="0"/>
              <w:bottom w:val="single" w:color="auto" w:sz="4" w:space="0"/>
              <w:right w:val="single" w:color="auto" w:sz="8" w:space="0"/>
            </w:tcBorders>
            <w:noWrap w:val="0"/>
            <w:tcMar>
              <w:top w:w="17" w:type="dxa"/>
              <w:left w:w="17" w:type="dxa"/>
              <w:bottom w:w="17" w:type="dxa"/>
              <w:right w:w="17" w:type="dxa"/>
            </w:tcMar>
            <w:vAlign w:val="center"/>
          </w:tcPr>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方正仿宋_GBK" w:hAnsi="方正仿宋_GBK" w:eastAsia="方正仿宋_GBK" w:cs="方正仿宋_GBK"/>
                <w:color w:val="auto"/>
                <w:kern w:val="0"/>
                <w:sz w:val="24"/>
              </w:rPr>
            </w:pPr>
            <w:r>
              <w:rPr>
                <w:rFonts w:hint="eastAsia" w:ascii="方正仿宋_GBK" w:hAnsi="方正仿宋_GBK" w:eastAsia="方正仿宋_GBK" w:cs="方正仿宋_GBK"/>
                <w:color w:val="auto"/>
                <w:kern w:val="0"/>
                <w:sz w:val="24"/>
              </w:rPr>
              <w:t>《广东</w:t>
            </w:r>
            <w:r>
              <w:rPr>
                <w:rFonts w:hint="eastAsia" w:ascii="方正仿宋_GBK" w:hAnsi="方正仿宋_GBK" w:eastAsia="方正仿宋_GBK" w:cs="方正仿宋_GBK"/>
                <w:color w:val="auto"/>
                <w:kern w:val="0"/>
                <w:sz w:val="24"/>
                <w:lang w:eastAsia="zh-CN"/>
              </w:rPr>
              <w:t>省</w:t>
            </w:r>
            <w:r>
              <w:rPr>
                <w:rFonts w:hint="eastAsia" w:ascii="方正仿宋_GBK" w:hAnsi="方正仿宋_GBK" w:eastAsia="方正仿宋_GBK" w:cs="方正仿宋_GBK"/>
                <w:color w:val="auto"/>
                <w:kern w:val="0"/>
                <w:sz w:val="24"/>
              </w:rPr>
              <w:t>实施〈中华人民共和国消防法〉办法》第四十</w:t>
            </w:r>
            <w:r>
              <w:rPr>
                <w:rFonts w:hint="eastAsia" w:ascii="方正仿宋_GBK" w:hAnsi="方正仿宋_GBK" w:eastAsia="方正仿宋_GBK" w:cs="方正仿宋_GBK"/>
                <w:color w:val="auto"/>
                <w:kern w:val="0"/>
                <w:sz w:val="24"/>
                <w:lang w:val="en-US" w:eastAsia="zh-CN"/>
              </w:rPr>
              <w:t>五</w:t>
            </w:r>
            <w:r>
              <w:rPr>
                <w:rFonts w:hint="eastAsia" w:ascii="方正仿宋_GBK" w:hAnsi="方正仿宋_GBK" w:eastAsia="方正仿宋_GBK" w:cs="方正仿宋_GBK"/>
                <w:color w:val="auto"/>
                <w:kern w:val="0"/>
                <w:sz w:val="24"/>
              </w:rPr>
              <w:t>条：</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方正仿宋_GBK" w:hAnsi="方正仿宋_GBK" w:eastAsia="方正仿宋_GBK" w:cs="方正仿宋_GBK"/>
                <w:snapToGrid w:val="0"/>
                <w:color w:val="auto"/>
                <w:spacing w:val="6"/>
                <w:kern w:val="0"/>
                <w:sz w:val="24"/>
                <w:szCs w:val="30"/>
                <w:lang w:val="en-US" w:eastAsia="zh-CN" w:bidi="ar-SA"/>
              </w:rPr>
            </w:pPr>
            <w:r>
              <w:rPr>
                <w:rFonts w:hint="eastAsia" w:ascii="方正仿宋_GBK" w:hAnsi="方正仿宋_GBK" w:eastAsia="方正仿宋_GBK" w:cs="方正仿宋_GBK"/>
                <w:color w:val="auto"/>
                <w:kern w:val="0"/>
                <w:sz w:val="24"/>
                <w:lang w:val="en-US" w:eastAsia="zh-CN"/>
              </w:rPr>
              <w:t>消防控制室的管理单位违反本办法第十九条第二款规定，未落实消防控制室值班制度，或者安排不具备相应条件的人员值班的，由消防救援机构责令改正，对经营性单位处二千元以上一万元以下罚款，对非经营性单位处五百元以上一千元以下罚款</w:t>
            </w:r>
            <w:r>
              <w:rPr>
                <w:rFonts w:hint="eastAsia" w:ascii="方正仿宋_GBK" w:hAnsi="方正仿宋_GBK" w:eastAsia="方正仿宋_GBK" w:cs="方正仿宋_GBK"/>
                <w:color w:val="auto"/>
                <w:kern w:val="0"/>
                <w:sz w:val="24"/>
              </w:rPr>
              <w:t>。</w:t>
            </w:r>
          </w:p>
        </w:tc>
        <w:tc>
          <w:tcPr>
            <w:tcW w:w="2162" w:type="dxa"/>
            <w:vMerge w:val="continue"/>
            <w:tcBorders>
              <w:left w:val="nil"/>
              <w:right w:val="single" w:color="auto" w:sz="8" w:space="0"/>
            </w:tcBorders>
            <w:noWrap w:val="0"/>
            <w:tcMar>
              <w:top w:w="17" w:type="dxa"/>
              <w:left w:w="17" w:type="dxa"/>
              <w:bottom w:w="17" w:type="dxa"/>
              <w:right w:w="17" w:type="dxa"/>
            </w:tcMar>
            <w:vAlign w:val="center"/>
          </w:tcPr>
          <w:p>
            <w:pPr>
              <w:keepNext w:val="0"/>
              <w:keepLines w:val="0"/>
              <w:pageBreakBefore w:val="0"/>
              <w:widowControl w:val="0"/>
              <w:tabs>
                <w:tab w:val="left" w:pos="420"/>
              </w:tabs>
              <w:kinsoku/>
              <w:wordWrap/>
              <w:overflowPunct/>
              <w:topLinePunct w:val="0"/>
              <w:autoSpaceDE/>
              <w:autoSpaceDN/>
              <w:bidi w:val="0"/>
              <w:adjustRightInd/>
              <w:snapToGrid/>
              <w:spacing w:line="240" w:lineRule="exact"/>
              <w:textAlignment w:val="auto"/>
              <w:rPr>
                <w:rFonts w:hint="eastAsia" w:ascii="方正仿宋_GBK" w:hAnsi="方正仿宋_GBK" w:eastAsia="方正仿宋_GBK" w:cs="方正仿宋_GBK"/>
                <w:snapToGrid w:val="0"/>
                <w:color w:val="auto"/>
                <w:spacing w:val="6"/>
                <w:kern w:val="0"/>
                <w:sz w:val="24"/>
                <w:szCs w:val="30"/>
                <w:lang w:val="en-US" w:eastAsia="zh-CN" w:bidi="ar-SA"/>
              </w:rPr>
            </w:pPr>
          </w:p>
        </w:tc>
      </w:tr>
      <w:tr>
        <w:tblPrEx>
          <w:tblLayout w:type="fixed"/>
          <w:tblCellMar>
            <w:top w:w="0" w:type="dxa"/>
            <w:left w:w="0" w:type="dxa"/>
            <w:bottom w:w="0" w:type="dxa"/>
            <w:right w:w="0" w:type="dxa"/>
          </w:tblCellMar>
        </w:tblPrEx>
        <w:trPr>
          <w:trHeight w:val="3115" w:hRule="atLeast"/>
          <w:jc w:val="center"/>
        </w:trPr>
        <w:tc>
          <w:tcPr>
            <w:tcW w:w="620" w:type="dxa"/>
            <w:vMerge w:val="continue"/>
            <w:tcBorders>
              <w:left w:val="single" w:color="auto" w:sz="4" w:space="0"/>
              <w:right w:val="single" w:color="auto" w:sz="4" w:space="0"/>
            </w:tcBorders>
            <w:noWrap w:val="0"/>
            <w:tcMar>
              <w:top w:w="17" w:type="dxa"/>
              <w:left w:w="17" w:type="dxa"/>
              <w:bottom w:w="17" w:type="dxa"/>
              <w:right w:w="17"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方正仿宋_GBK" w:hAnsi="方正仿宋_GBK" w:eastAsia="方正仿宋_GBK" w:cs="方正仿宋_GBK"/>
                <w:color w:val="auto"/>
                <w:kern w:val="0"/>
                <w:sz w:val="24"/>
              </w:rPr>
            </w:pPr>
          </w:p>
        </w:tc>
        <w:tc>
          <w:tcPr>
            <w:tcW w:w="885" w:type="dxa"/>
            <w:vMerge w:val="continue"/>
            <w:tcBorders>
              <w:left w:val="single" w:color="auto" w:sz="4" w:space="0"/>
              <w:right w:val="single" w:color="auto" w:sz="4" w:space="0"/>
            </w:tcBorders>
            <w:noWrap w:val="0"/>
            <w:tcMar>
              <w:top w:w="17" w:type="dxa"/>
              <w:left w:w="17" w:type="dxa"/>
              <w:bottom w:w="17" w:type="dxa"/>
              <w:right w:w="17"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方正仿宋_GBK" w:hAnsi="方正仿宋_GBK" w:eastAsia="方正仿宋_GBK" w:cs="方正仿宋_GBK"/>
                <w:color w:val="auto"/>
                <w:kern w:val="0"/>
                <w:sz w:val="24"/>
              </w:rPr>
            </w:pPr>
          </w:p>
        </w:tc>
        <w:tc>
          <w:tcPr>
            <w:tcW w:w="1050" w:type="dxa"/>
            <w:vMerge w:val="continue"/>
            <w:tcBorders>
              <w:left w:val="single" w:color="auto" w:sz="4" w:space="0"/>
              <w:right w:val="single" w:color="auto" w:sz="4" w:space="0"/>
            </w:tcBorders>
            <w:noWrap w:val="0"/>
            <w:tcMar>
              <w:top w:w="17" w:type="dxa"/>
              <w:left w:w="17" w:type="dxa"/>
              <w:bottom w:w="17" w:type="dxa"/>
              <w:right w:w="17"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方正仿宋_GBK" w:hAnsi="方正仿宋_GBK" w:eastAsia="方正仿宋_GBK" w:cs="方正仿宋_GBK"/>
                <w:color w:val="auto"/>
                <w:kern w:val="0"/>
                <w:sz w:val="24"/>
              </w:rPr>
            </w:pPr>
          </w:p>
        </w:tc>
        <w:tc>
          <w:tcPr>
            <w:tcW w:w="4965" w:type="dxa"/>
            <w:tcBorders>
              <w:top w:val="single" w:color="auto" w:sz="4" w:space="0"/>
              <w:left w:val="single" w:color="auto" w:sz="4" w:space="0"/>
              <w:bottom w:val="single" w:color="auto" w:sz="4" w:space="0"/>
              <w:right w:val="single" w:color="auto" w:sz="8" w:space="0"/>
            </w:tcBorders>
            <w:noWrap w:val="0"/>
            <w:tcMar>
              <w:top w:w="17" w:type="dxa"/>
              <w:left w:w="17" w:type="dxa"/>
              <w:bottom w:w="17" w:type="dxa"/>
              <w:right w:w="17" w:type="dxa"/>
            </w:tcMar>
            <w:vAlign w:val="center"/>
          </w:tcPr>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方正仿宋_GBK" w:hAnsi="方正仿宋_GBK" w:eastAsia="方正仿宋_GBK" w:cs="方正仿宋_GBK"/>
                <w:color w:val="auto"/>
                <w:kern w:val="0"/>
                <w:sz w:val="24"/>
              </w:rPr>
            </w:pPr>
            <w:r>
              <w:rPr>
                <w:rFonts w:hint="eastAsia" w:ascii="方正仿宋_GBK" w:hAnsi="方正仿宋_GBK" w:eastAsia="方正仿宋_GBK" w:cs="方正仿宋_GBK"/>
                <w:color w:val="auto"/>
                <w:kern w:val="0"/>
                <w:sz w:val="24"/>
              </w:rPr>
              <w:t>《广东</w:t>
            </w:r>
            <w:r>
              <w:rPr>
                <w:rFonts w:hint="eastAsia" w:ascii="方正仿宋_GBK" w:hAnsi="方正仿宋_GBK" w:eastAsia="方正仿宋_GBK" w:cs="方正仿宋_GBK"/>
                <w:color w:val="auto"/>
                <w:kern w:val="0"/>
                <w:sz w:val="24"/>
                <w:lang w:eastAsia="zh-CN"/>
              </w:rPr>
              <w:t>省</w:t>
            </w:r>
            <w:r>
              <w:rPr>
                <w:rFonts w:hint="eastAsia" w:ascii="方正仿宋_GBK" w:hAnsi="方正仿宋_GBK" w:eastAsia="方正仿宋_GBK" w:cs="方正仿宋_GBK"/>
                <w:color w:val="auto"/>
                <w:kern w:val="0"/>
                <w:sz w:val="24"/>
              </w:rPr>
              <w:t>实施〈中华人民共和国消防法〉办法》第四十七条：</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方正仿宋_GBK" w:hAnsi="方正仿宋_GBK" w:eastAsia="方正仿宋_GBK" w:cs="方正仿宋_GBK"/>
                <w:color w:val="auto"/>
                <w:kern w:val="0"/>
                <w:sz w:val="24"/>
              </w:rPr>
            </w:pPr>
            <w:r>
              <w:rPr>
                <w:rFonts w:hint="eastAsia" w:ascii="方正仿宋_GBK" w:hAnsi="方正仿宋_GBK" w:eastAsia="方正仿宋_GBK" w:cs="方正仿宋_GBK"/>
                <w:color w:val="auto"/>
                <w:kern w:val="0"/>
                <w:sz w:val="24"/>
              </w:rPr>
              <w:t>违反本办法第二十三条第二款、第三款规定，人员密集场所未在明显位置设置疏散示意图，或者歌舞娱乐放映游艺场所及其包房内未设置声音或者视像警报的，由消防救援机构责令限期改正；逾期不改正的，按照下列规定处罚：</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方正仿宋_GBK" w:hAnsi="方正仿宋_GBK" w:eastAsia="方正仿宋_GBK" w:cs="方正仿宋_GBK"/>
                <w:color w:val="auto"/>
                <w:kern w:val="0"/>
                <w:sz w:val="24"/>
              </w:rPr>
            </w:pPr>
            <w:r>
              <w:rPr>
                <w:rFonts w:hint="eastAsia" w:ascii="方正仿宋_GBK" w:hAnsi="方正仿宋_GBK" w:eastAsia="方正仿宋_GBK" w:cs="方正仿宋_GBK"/>
                <w:color w:val="auto"/>
                <w:kern w:val="0"/>
                <w:sz w:val="24"/>
              </w:rPr>
              <w:t>（一）建筑面积不足一千平方米的，处五千元以上二万元以下罚款；</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方正仿宋_GBK" w:hAnsi="方正仿宋_GBK" w:eastAsia="方正仿宋_GBK" w:cs="方正仿宋_GBK"/>
                <w:color w:val="auto"/>
                <w:kern w:val="0"/>
                <w:sz w:val="24"/>
              </w:rPr>
            </w:pPr>
            <w:r>
              <w:rPr>
                <w:rFonts w:hint="eastAsia" w:ascii="方正仿宋_GBK" w:hAnsi="方正仿宋_GBK" w:eastAsia="方正仿宋_GBK" w:cs="方正仿宋_GBK"/>
                <w:color w:val="auto"/>
                <w:kern w:val="0"/>
                <w:sz w:val="24"/>
              </w:rPr>
              <w:t>（二）建筑面积超过一千平方米的，处二万元以上五万元以下罚款。</w:t>
            </w:r>
          </w:p>
        </w:tc>
        <w:tc>
          <w:tcPr>
            <w:tcW w:w="2162" w:type="dxa"/>
            <w:vMerge w:val="continue"/>
            <w:tcBorders>
              <w:left w:val="nil"/>
              <w:right w:val="single" w:color="auto" w:sz="8" w:space="0"/>
            </w:tcBorders>
            <w:noWrap w:val="0"/>
            <w:tcMar>
              <w:top w:w="17" w:type="dxa"/>
              <w:left w:w="17" w:type="dxa"/>
              <w:bottom w:w="17" w:type="dxa"/>
              <w:right w:w="17" w:type="dxa"/>
            </w:tcMar>
            <w:vAlign w:val="center"/>
          </w:tcPr>
          <w:p>
            <w:pPr>
              <w:keepNext w:val="0"/>
              <w:keepLines w:val="0"/>
              <w:pageBreakBefore w:val="0"/>
              <w:widowControl w:val="0"/>
              <w:tabs>
                <w:tab w:val="left" w:pos="420"/>
              </w:tabs>
              <w:kinsoku/>
              <w:wordWrap/>
              <w:overflowPunct/>
              <w:topLinePunct w:val="0"/>
              <w:autoSpaceDE/>
              <w:autoSpaceDN/>
              <w:bidi w:val="0"/>
              <w:adjustRightInd/>
              <w:snapToGrid/>
              <w:spacing w:line="320" w:lineRule="exact"/>
              <w:textAlignment w:val="auto"/>
              <w:rPr>
                <w:rFonts w:hint="eastAsia" w:ascii="方正仿宋_GBK" w:hAnsi="方正仿宋_GBK" w:eastAsia="方正仿宋_GBK" w:cs="方正仿宋_GBK"/>
                <w:color w:val="auto"/>
                <w:kern w:val="0"/>
                <w:sz w:val="24"/>
              </w:rPr>
            </w:pPr>
          </w:p>
        </w:tc>
      </w:tr>
      <w:tr>
        <w:tblPrEx>
          <w:tblLayout w:type="fixed"/>
          <w:tblCellMar>
            <w:top w:w="0" w:type="dxa"/>
            <w:left w:w="0" w:type="dxa"/>
            <w:bottom w:w="0" w:type="dxa"/>
            <w:right w:w="0" w:type="dxa"/>
          </w:tblCellMar>
        </w:tblPrEx>
        <w:trPr>
          <w:trHeight w:val="90" w:hRule="atLeast"/>
          <w:jc w:val="center"/>
        </w:trPr>
        <w:tc>
          <w:tcPr>
            <w:tcW w:w="620" w:type="dxa"/>
            <w:vMerge w:val="continue"/>
            <w:tcBorders>
              <w:left w:val="single" w:color="auto" w:sz="4" w:space="0"/>
              <w:bottom w:val="single" w:color="auto" w:sz="4" w:space="0"/>
              <w:right w:val="single" w:color="auto" w:sz="4" w:space="0"/>
            </w:tcBorders>
            <w:noWrap w:val="0"/>
            <w:tcMar>
              <w:top w:w="17" w:type="dxa"/>
              <w:left w:w="17" w:type="dxa"/>
              <w:bottom w:w="17" w:type="dxa"/>
              <w:right w:w="17"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方正仿宋_GBK" w:hAnsi="方正仿宋_GBK" w:eastAsia="方正仿宋_GBK" w:cs="方正仿宋_GBK"/>
                <w:color w:val="auto"/>
                <w:kern w:val="0"/>
                <w:sz w:val="24"/>
              </w:rPr>
            </w:pPr>
          </w:p>
        </w:tc>
        <w:tc>
          <w:tcPr>
            <w:tcW w:w="885" w:type="dxa"/>
            <w:vMerge w:val="continue"/>
            <w:tcBorders>
              <w:left w:val="single" w:color="auto" w:sz="4" w:space="0"/>
              <w:bottom w:val="single" w:color="auto" w:sz="4" w:space="0"/>
              <w:right w:val="single" w:color="auto" w:sz="4" w:space="0"/>
            </w:tcBorders>
            <w:noWrap w:val="0"/>
            <w:tcMar>
              <w:top w:w="17" w:type="dxa"/>
              <w:left w:w="17" w:type="dxa"/>
              <w:bottom w:w="17" w:type="dxa"/>
              <w:right w:w="17"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方正仿宋_GBK" w:hAnsi="方正仿宋_GBK" w:eastAsia="方正仿宋_GBK" w:cs="方正仿宋_GBK"/>
                <w:color w:val="auto"/>
                <w:kern w:val="0"/>
                <w:sz w:val="24"/>
              </w:rPr>
            </w:pPr>
          </w:p>
        </w:tc>
        <w:tc>
          <w:tcPr>
            <w:tcW w:w="1050" w:type="dxa"/>
            <w:vMerge w:val="continue"/>
            <w:tcBorders>
              <w:left w:val="single" w:color="auto" w:sz="4" w:space="0"/>
              <w:bottom w:val="single" w:color="auto" w:sz="4" w:space="0"/>
              <w:right w:val="single" w:color="auto" w:sz="4" w:space="0"/>
            </w:tcBorders>
            <w:noWrap w:val="0"/>
            <w:tcMar>
              <w:top w:w="17" w:type="dxa"/>
              <w:left w:w="17" w:type="dxa"/>
              <w:bottom w:w="17" w:type="dxa"/>
              <w:right w:w="17"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方正仿宋_GBK" w:hAnsi="方正仿宋_GBK" w:eastAsia="方正仿宋_GBK" w:cs="方正仿宋_GBK"/>
                <w:color w:val="auto"/>
                <w:kern w:val="0"/>
                <w:sz w:val="24"/>
              </w:rPr>
            </w:pPr>
          </w:p>
        </w:tc>
        <w:tc>
          <w:tcPr>
            <w:tcW w:w="4965" w:type="dxa"/>
            <w:tcBorders>
              <w:top w:val="single" w:color="auto" w:sz="4" w:space="0"/>
              <w:left w:val="single" w:color="auto" w:sz="4" w:space="0"/>
              <w:bottom w:val="single" w:color="auto" w:sz="4" w:space="0"/>
              <w:right w:val="single" w:color="auto" w:sz="8" w:space="0"/>
            </w:tcBorders>
            <w:noWrap w:val="0"/>
            <w:tcMar>
              <w:top w:w="17" w:type="dxa"/>
              <w:left w:w="17" w:type="dxa"/>
              <w:bottom w:w="17" w:type="dxa"/>
              <w:right w:w="17"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方正仿宋_GBK" w:hAnsi="方正仿宋_GBK" w:eastAsia="方正仿宋_GBK" w:cs="方正仿宋_GBK"/>
                <w:color w:val="auto"/>
                <w:kern w:val="0"/>
                <w:sz w:val="24"/>
              </w:rPr>
            </w:pPr>
            <w:r>
              <w:rPr>
                <w:rFonts w:hint="eastAsia" w:ascii="方正仿宋_GBK" w:hAnsi="方正仿宋_GBK" w:eastAsia="方正仿宋_GBK" w:cs="方正仿宋_GBK"/>
                <w:color w:val="auto"/>
                <w:kern w:val="0"/>
                <w:sz w:val="24"/>
              </w:rPr>
              <w:t>《广东</w:t>
            </w:r>
            <w:r>
              <w:rPr>
                <w:rFonts w:hint="eastAsia" w:ascii="方正仿宋_GBK" w:hAnsi="方正仿宋_GBK" w:eastAsia="方正仿宋_GBK" w:cs="方正仿宋_GBK"/>
                <w:color w:val="auto"/>
                <w:kern w:val="0"/>
                <w:sz w:val="24"/>
                <w:lang w:eastAsia="zh-CN"/>
              </w:rPr>
              <w:t>省</w:t>
            </w:r>
            <w:r>
              <w:rPr>
                <w:rFonts w:hint="eastAsia" w:ascii="方正仿宋_GBK" w:hAnsi="方正仿宋_GBK" w:eastAsia="方正仿宋_GBK" w:cs="方正仿宋_GBK"/>
                <w:color w:val="auto"/>
                <w:kern w:val="0"/>
                <w:sz w:val="24"/>
              </w:rPr>
              <w:t>实施〈中华人民共和国消防法〉办法第四十九条：</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方正仿宋_GBK" w:hAnsi="方正仿宋_GBK" w:eastAsia="方正仿宋_GBK" w:cs="方正仿宋_GBK"/>
                <w:color w:val="auto"/>
                <w:kern w:val="0"/>
                <w:sz w:val="24"/>
              </w:rPr>
            </w:pPr>
            <w:r>
              <w:rPr>
                <w:rFonts w:hint="eastAsia" w:ascii="方正仿宋_GBK" w:hAnsi="方正仿宋_GBK" w:eastAsia="方正仿宋_GBK" w:cs="方正仿宋_GBK"/>
                <w:color w:val="auto"/>
                <w:kern w:val="0"/>
                <w:sz w:val="24"/>
              </w:rPr>
              <w:t>违反本办法第二十五条第三款规定，在建筑物的公共门厅、疏散通道、安全出口、楼梯间以及不符合消防安全条件的室内场所停放电动自行车、电动摩托车或者为电动自行车、电动摩托车及其电池充电，或者携带电动自行车、电动摩托车及其电池进入电梯轿厢的，由消防救援机构责令立即改正；拒不改正的，对单位处一千元以上五千元以下罚款，对个人处五百元以上一千元以下罚款。</w:t>
            </w:r>
          </w:p>
        </w:tc>
        <w:tc>
          <w:tcPr>
            <w:tcW w:w="2162" w:type="dxa"/>
            <w:vMerge w:val="continue"/>
            <w:tcBorders>
              <w:left w:val="nil"/>
              <w:bottom w:val="single" w:color="auto" w:sz="4" w:space="0"/>
              <w:right w:val="single" w:color="auto" w:sz="8" w:space="0"/>
            </w:tcBorders>
            <w:noWrap w:val="0"/>
            <w:tcMar>
              <w:top w:w="17" w:type="dxa"/>
              <w:left w:w="17" w:type="dxa"/>
              <w:bottom w:w="17" w:type="dxa"/>
              <w:right w:w="17" w:type="dxa"/>
            </w:tcMar>
            <w:vAlign w:val="center"/>
          </w:tcPr>
          <w:p>
            <w:pPr>
              <w:keepNext w:val="0"/>
              <w:keepLines w:val="0"/>
              <w:pageBreakBefore w:val="0"/>
              <w:widowControl w:val="0"/>
              <w:tabs>
                <w:tab w:val="left" w:pos="420"/>
              </w:tabs>
              <w:kinsoku/>
              <w:wordWrap/>
              <w:overflowPunct/>
              <w:topLinePunct w:val="0"/>
              <w:autoSpaceDE/>
              <w:autoSpaceDN/>
              <w:bidi w:val="0"/>
              <w:adjustRightInd/>
              <w:snapToGrid/>
              <w:spacing w:line="280" w:lineRule="exact"/>
              <w:textAlignment w:val="auto"/>
              <w:rPr>
                <w:rFonts w:hint="eastAsia" w:ascii="方正仿宋_GBK" w:hAnsi="方正仿宋_GBK" w:eastAsia="方正仿宋_GBK" w:cs="方正仿宋_GBK"/>
                <w:color w:val="auto"/>
                <w:kern w:val="0"/>
                <w:sz w:val="24"/>
              </w:rPr>
            </w:pPr>
          </w:p>
        </w:tc>
      </w:tr>
      <w:tr>
        <w:tblPrEx>
          <w:tblLayout w:type="fixed"/>
          <w:tblCellMar>
            <w:top w:w="0" w:type="dxa"/>
            <w:left w:w="0" w:type="dxa"/>
            <w:bottom w:w="0" w:type="dxa"/>
            <w:right w:w="0" w:type="dxa"/>
          </w:tblCellMar>
        </w:tblPrEx>
        <w:trPr>
          <w:trHeight w:val="3921" w:hRule="atLeast"/>
          <w:jc w:val="center"/>
        </w:trPr>
        <w:tc>
          <w:tcPr>
            <w:tcW w:w="620" w:type="dxa"/>
            <w:vMerge w:val="restart"/>
            <w:tcBorders>
              <w:top w:val="single" w:color="auto" w:sz="4" w:space="0"/>
              <w:left w:val="single" w:color="auto" w:sz="4" w:space="0"/>
              <w:bottom w:val="single" w:color="auto" w:sz="4" w:space="0"/>
              <w:right w:val="single" w:color="auto" w:sz="4" w:space="0"/>
            </w:tcBorders>
            <w:noWrap w:val="0"/>
            <w:tcMar>
              <w:top w:w="17" w:type="dxa"/>
              <w:left w:w="17" w:type="dxa"/>
              <w:bottom w:w="17" w:type="dxa"/>
              <w:right w:w="17"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方正仿宋_GBK" w:hAnsi="方正仿宋_GBK" w:eastAsia="方正仿宋_GBK" w:cs="方正仿宋_GBK"/>
                <w:snapToGrid w:val="0"/>
                <w:color w:val="auto"/>
                <w:spacing w:val="6"/>
                <w:kern w:val="0"/>
                <w:sz w:val="24"/>
                <w:szCs w:val="30"/>
                <w:lang w:val="en-US" w:eastAsia="zh-CN" w:bidi="ar-SA"/>
              </w:rPr>
            </w:pPr>
            <w:r>
              <w:rPr>
                <w:rFonts w:hint="eastAsia" w:ascii="方正仿宋_GBK" w:hAnsi="方正仿宋_GBK" w:eastAsia="方正仿宋_GBK" w:cs="方正仿宋_GBK"/>
                <w:color w:val="auto"/>
                <w:kern w:val="0"/>
                <w:sz w:val="24"/>
              </w:rPr>
              <w:t>消防监督管理行政处罚</w:t>
            </w:r>
          </w:p>
        </w:tc>
        <w:tc>
          <w:tcPr>
            <w:tcW w:w="885" w:type="dxa"/>
            <w:vMerge w:val="restart"/>
            <w:tcBorders>
              <w:top w:val="single" w:color="auto" w:sz="4" w:space="0"/>
              <w:left w:val="single" w:color="auto" w:sz="4" w:space="0"/>
              <w:bottom w:val="single" w:color="auto" w:sz="4" w:space="0"/>
              <w:right w:val="single" w:color="auto" w:sz="4" w:space="0"/>
            </w:tcBorders>
            <w:noWrap w:val="0"/>
            <w:tcMar>
              <w:top w:w="17" w:type="dxa"/>
              <w:left w:w="17" w:type="dxa"/>
              <w:bottom w:w="17" w:type="dxa"/>
              <w:right w:w="17"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方正仿宋_GBK" w:hAnsi="方正仿宋_GBK" w:eastAsia="方正仿宋_GBK" w:cs="方正仿宋_GBK"/>
                <w:snapToGrid w:val="0"/>
                <w:color w:val="auto"/>
                <w:spacing w:val="6"/>
                <w:kern w:val="0"/>
                <w:sz w:val="24"/>
                <w:szCs w:val="30"/>
                <w:lang w:val="en-US" w:eastAsia="zh-CN" w:bidi="ar-SA"/>
              </w:rPr>
            </w:pPr>
            <w:r>
              <w:rPr>
                <w:rFonts w:hint="eastAsia" w:ascii="方正仿宋_GBK" w:hAnsi="方正仿宋_GBK" w:eastAsia="方正仿宋_GBK" w:cs="方正仿宋_GBK"/>
                <w:color w:val="auto"/>
                <w:kern w:val="0"/>
                <w:sz w:val="24"/>
                <w:lang w:val="en-US" w:eastAsia="zh-CN"/>
              </w:rPr>
              <w:t>大埔县</w:t>
            </w:r>
            <w:r>
              <w:rPr>
                <w:rFonts w:hint="eastAsia" w:ascii="方正仿宋_GBK" w:hAnsi="方正仿宋_GBK" w:eastAsia="方正仿宋_GBK" w:cs="方正仿宋_GBK"/>
                <w:color w:val="auto"/>
                <w:kern w:val="0"/>
                <w:sz w:val="24"/>
              </w:rPr>
              <w:t>消防救援</w:t>
            </w:r>
            <w:r>
              <w:rPr>
                <w:rFonts w:hint="eastAsia" w:ascii="方正仿宋_GBK" w:hAnsi="方正仿宋_GBK" w:eastAsia="方正仿宋_GBK" w:cs="方正仿宋_GBK"/>
                <w:color w:val="auto"/>
                <w:kern w:val="0"/>
                <w:sz w:val="24"/>
                <w:lang w:val="en-US" w:eastAsia="zh-CN"/>
              </w:rPr>
              <w:t>大队</w:t>
            </w:r>
          </w:p>
        </w:tc>
        <w:tc>
          <w:tcPr>
            <w:tcW w:w="1050" w:type="dxa"/>
            <w:vMerge w:val="restart"/>
            <w:tcBorders>
              <w:top w:val="single" w:color="auto" w:sz="4" w:space="0"/>
              <w:left w:val="single" w:color="auto" w:sz="4" w:space="0"/>
              <w:bottom w:val="single" w:color="auto" w:sz="4" w:space="0"/>
              <w:right w:val="single" w:color="auto" w:sz="4" w:space="0"/>
            </w:tcBorders>
            <w:noWrap w:val="0"/>
            <w:tcMar>
              <w:top w:w="17" w:type="dxa"/>
              <w:left w:w="17" w:type="dxa"/>
              <w:bottom w:w="17" w:type="dxa"/>
              <w:right w:w="17"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方正仿宋_GBK" w:hAnsi="方正仿宋_GBK" w:eastAsia="方正仿宋_GBK" w:cs="方正仿宋_GBK"/>
                <w:color w:val="auto"/>
                <w:kern w:val="0"/>
                <w:sz w:val="24"/>
              </w:rPr>
            </w:pPr>
            <w:r>
              <w:rPr>
                <w:rFonts w:hint="eastAsia" w:ascii="方正仿宋_GBK" w:hAnsi="方正仿宋_GBK" w:eastAsia="方正仿宋_GBK" w:cs="方正仿宋_GBK"/>
                <w:color w:val="auto"/>
                <w:kern w:val="0"/>
                <w:sz w:val="24"/>
              </w:rPr>
              <w:t>镇人民</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方正仿宋_GBK" w:hAnsi="方正仿宋_GBK" w:eastAsia="方正仿宋_GBK" w:cs="方正仿宋_GBK"/>
                <w:color w:val="auto"/>
                <w:kern w:val="0"/>
                <w:sz w:val="24"/>
              </w:rPr>
            </w:pPr>
            <w:r>
              <w:rPr>
                <w:rFonts w:hint="eastAsia" w:ascii="方正仿宋_GBK" w:hAnsi="方正仿宋_GBK" w:eastAsia="方正仿宋_GBK" w:cs="方正仿宋_GBK"/>
                <w:color w:val="auto"/>
                <w:kern w:val="0"/>
                <w:sz w:val="24"/>
              </w:rPr>
              <w:t>政府</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方正仿宋_GBK" w:hAnsi="方正仿宋_GBK" w:eastAsia="方正仿宋_GBK" w:cs="方正仿宋_GBK"/>
                <w:snapToGrid w:val="0"/>
                <w:color w:val="auto"/>
                <w:spacing w:val="6"/>
                <w:kern w:val="0"/>
                <w:sz w:val="24"/>
                <w:szCs w:val="30"/>
                <w:lang w:val="en-US" w:eastAsia="zh-CN" w:bidi="ar-SA"/>
              </w:rPr>
            </w:pPr>
          </w:p>
        </w:tc>
        <w:tc>
          <w:tcPr>
            <w:tcW w:w="4965" w:type="dxa"/>
            <w:tcBorders>
              <w:top w:val="single" w:color="auto" w:sz="4" w:space="0"/>
              <w:left w:val="single" w:color="auto" w:sz="4" w:space="0"/>
              <w:bottom w:val="single" w:color="auto" w:sz="4" w:space="0"/>
              <w:right w:val="single" w:color="auto" w:sz="8" w:space="0"/>
            </w:tcBorders>
            <w:noWrap w:val="0"/>
            <w:tcMar>
              <w:top w:w="17" w:type="dxa"/>
              <w:left w:w="17" w:type="dxa"/>
              <w:bottom w:w="17" w:type="dxa"/>
              <w:right w:w="17"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方正仿宋_GBK" w:hAnsi="方正仿宋_GBK" w:eastAsia="方正仿宋_GBK" w:cs="方正仿宋_GBK"/>
                <w:color w:val="auto"/>
                <w:kern w:val="0"/>
                <w:sz w:val="24"/>
              </w:rPr>
            </w:pPr>
            <w:r>
              <w:rPr>
                <w:rFonts w:hint="eastAsia" w:ascii="方正仿宋_GBK" w:hAnsi="方正仿宋_GBK" w:eastAsia="方正仿宋_GBK" w:cs="方正仿宋_GBK"/>
                <w:color w:val="auto"/>
                <w:kern w:val="0"/>
                <w:sz w:val="24"/>
              </w:rPr>
              <w:t>《</w:t>
            </w:r>
            <w:r>
              <w:rPr>
                <w:rFonts w:hint="eastAsia" w:ascii="方正仿宋_GBK" w:hAnsi="方正仿宋_GBK" w:eastAsia="方正仿宋_GBK" w:cs="方正仿宋_GBK"/>
                <w:color w:val="auto"/>
                <w:kern w:val="0"/>
                <w:sz w:val="24"/>
                <w:lang w:val="en-US" w:eastAsia="zh-CN"/>
              </w:rPr>
              <w:t>广东省消防工作若干规定</w:t>
            </w:r>
            <w:r>
              <w:rPr>
                <w:rFonts w:hint="eastAsia" w:ascii="方正仿宋_GBK" w:hAnsi="方正仿宋_GBK" w:eastAsia="方正仿宋_GBK" w:cs="方正仿宋_GBK"/>
                <w:color w:val="auto"/>
                <w:kern w:val="0"/>
                <w:sz w:val="24"/>
              </w:rPr>
              <w:t>》第</w:t>
            </w:r>
            <w:r>
              <w:rPr>
                <w:rFonts w:hint="eastAsia" w:ascii="方正仿宋_GBK" w:hAnsi="方正仿宋_GBK" w:eastAsia="方正仿宋_GBK" w:cs="方正仿宋_GBK"/>
                <w:color w:val="auto"/>
                <w:kern w:val="0"/>
                <w:sz w:val="24"/>
                <w:lang w:val="en-US" w:eastAsia="zh-CN"/>
              </w:rPr>
              <w:t>四十五</w:t>
            </w:r>
            <w:r>
              <w:rPr>
                <w:rFonts w:hint="eastAsia" w:ascii="方正仿宋_GBK" w:hAnsi="方正仿宋_GBK" w:eastAsia="方正仿宋_GBK" w:cs="方正仿宋_GBK"/>
                <w:color w:val="auto"/>
                <w:kern w:val="0"/>
                <w:sz w:val="24"/>
              </w:rPr>
              <w:t>条：</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方正仿宋_GBK" w:hAnsi="方正仿宋_GBK" w:eastAsia="方正仿宋_GBK" w:cs="方正仿宋_GBK"/>
                <w:color w:val="auto"/>
                <w:kern w:val="0"/>
                <w:sz w:val="24"/>
                <w:lang w:val="en-US" w:eastAsia="zh-CN"/>
              </w:rPr>
            </w:pPr>
            <w:r>
              <w:rPr>
                <w:rFonts w:hint="eastAsia" w:ascii="方正仿宋_GBK" w:hAnsi="方正仿宋_GBK" w:eastAsia="方正仿宋_GBK" w:cs="方正仿宋_GBK"/>
                <w:color w:val="auto"/>
                <w:kern w:val="0"/>
                <w:sz w:val="24"/>
                <w:lang w:val="en-US" w:eastAsia="zh-CN"/>
              </w:rPr>
              <w:t>建筑物的建设、使用、管理单位或者个人未按照本规定第三十三条第一款规定明确标示管理范围内的消防车通道和消防车登高操作场地的，由消防救援机构责令限期改正；逾期不改正的，处</w:t>
            </w:r>
            <w:r>
              <w:rPr>
                <w:rFonts w:hint="default" w:ascii="Times New Roman" w:hAnsi="Times New Roman" w:eastAsia="方正仿宋_GBK" w:cs="Times New Roman"/>
                <w:color w:val="auto"/>
                <w:kern w:val="0"/>
                <w:sz w:val="24"/>
                <w:lang w:val="en-US" w:eastAsia="zh-CN"/>
              </w:rPr>
              <w:t>1000</w:t>
            </w:r>
            <w:r>
              <w:rPr>
                <w:rFonts w:hint="eastAsia" w:ascii="方正仿宋_GBK" w:hAnsi="方正仿宋_GBK" w:eastAsia="方正仿宋_GBK" w:cs="方正仿宋_GBK"/>
                <w:color w:val="auto"/>
                <w:kern w:val="0"/>
                <w:sz w:val="24"/>
                <w:lang w:val="en-US" w:eastAsia="zh-CN"/>
              </w:rPr>
              <w:t>元以上</w:t>
            </w:r>
            <w:r>
              <w:rPr>
                <w:rFonts w:hint="default" w:ascii="Times New Roman" w:hAnsi="Times New Roman" w:eastAsia="方正仿宋_GBK" w:cs="Times New Roman"/>
                <w:color w:val="auto"/>
                <w:kern w:val="0"/>
                <w:sz w:val="24"/>
                <w:lang w:val="en-US" w:eastAsia="zh-CN"/>
              </w:rPr>
              <w:t>5000</w:t>
            </w:r>
            <w:r>
              <w:rPr>
                <w:rFonts w:hint="eastAsia" w:ascii="方正仿宋_GBK" w:hAnsi="方正仿宋_GBK" w:eastAsia="方正仿宋_GBK" w:cs="方正仿宋_GBK"/>
                <w:color w:val="auto"/>
                <w:kern w:val="0"/>
                <w:sz w:val="24"/>
                <w:lang w:val="en-US" w:eastAsia="zh-CN"/>
              </w:rPr>
              <w:t>元以下罚款；情节严重的处</w:t>
            </w:r>
            <w:r>
              <w:rPr>
                <w:rFonts w:hint="default" w:ascii="Times New Roman" w:hAnsi="Times New Roman" w:eastAsia="方正仿宋_GBK" w:cs="Times New Roman"/>
                <w:color w:val="auto"/>
                <w:kern w:val="0"/>
                <w:sz w:val="24"/>
                <w:lang w:val="en-US" w:eastAsia="zh-CN"/>
              </w:rPr>
              <w:t>5000</w:t>
            </w:r>
            <w:r>
              <w:rPr>
                <w:rFonts w:hint="eastAsia" w:ascii="方正仿宋_GBK" w:hAnsi="方正仿宋_GBK" w:eastAsia="方正仿宋_GBK" w:cs="方正仿宋_GBK"/>
                <w:color w:val="auto"/>
                <w:kern w:val="0"/>
                <w:sz w:val="24"/>
                <w:lang w:val="en-US" w:eastAsia="zh-CN"/>
              </w:rPr>
              <w:t>元以上</w:t>
            </w:r>
            <w:r>
              <w:rPr>
                <w:rFonts w:hint="default" w:ascii="Times New Roman" w:hAnsi="Times New Roman" w:eastAsia="方正仿宋_GBK" w:cs="Times New Roman"/>
                <w:color w:val="auto"/>
                <w:kern w:val="0"/>
                <w:sz w:val="24"/>
                <w:lang w:val="en-US" w:eastAsia="zh-CN"/>
              </w:rPr>
              <w:t>2</w:t>
            </w:r>
            <w:r>
              <w:rPr>
                <w:rFonts w:hint="eastAsia" w:ascii="方正仿宋_GBK" w:hAnsi="方正仿宋_GBK" w:eastAsia="方正仿宋_GBK" w:cs="方正仿宋_GBK"/>
                <w:color w:val="auto"/>
                <w:kern w:val="0"/>
                <w:sz w:val="24"/>
                <w:lang w:val="en-US" w:eastAsia="zh-CN"/>
              </w:rPr>
              <w:t>万元以下罚款。</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方正仿宋_GBK" w:hAnsi="方正仿宋_GBK" w:eastAsia="方正仿宋_GBK" w:cs="方正仿宋_GBK"/>
                <w:color w:val="auto"/>
                <w:kern w:val="0"/>
                <w:sz w:val="24"/>
                <w:lang w:val="en-US" w:eastAsia="zh-CN"/>
              </w:rPr>
            </w:pPr>
            <w:r>
              <w:rPr>
                <w:rFonts w:hint="eastAsia" w:ascii="方正仿宋_GBK" w:hAnsi="方正仿宋_GBK" w:eastAsia="方正仿宋_GBK" w:cs="方正仿宋_GBK"/>
                <w:color w:val="auto"/>
                <w:kern w:val="0"/>
                <w:sz w:val="24"/>
                <w:lang w:val="en-US" w:eastAsia="zh-CN"/>
              </w:rPr>
              <w:t>违反本规定第三十三条第二款规定，擅自改变或者占用消防车通道，或者违法在道路上、消防车通道和消防车登高操作场地停放车辆、设置停车场（位）、放置障碍物或者乱搭乱建等影响消防车通行和灭火救援行为的，由消防救援机构、公安机关交通管理部门或者其他有关部门依法处罚。</w:t>
            </w:r>
          </w:p>
        </w:tc>
        <w:tc>
          <w:tcPr>
            <w:tcW w:w="2162" w:type="dxa"/>
            <w:vMerge w:val="restart"/>
            <w:tcBorders>
              <w:top w:val="single" w:color="auto" w:sz="4" w:space="0"/>
              <w:left w:val="nil"/>
              <w:right w:val="single" w:color="auto" w:sz="8" w:space="0"/>
            </w:tcBorders>
            <w:noWrap w:val="0"/>
            <w:tcMar>
              <w:top w:w="17" w:type="dxa"/>
              <w:left w:w="17" w:type="dxa"/>
              <w:bottom w:w="17" w:type="dxa"/>
              <w:right w:w="17" w:type="dxa"/>
            </w:tcMar>
            <w:vAlign w:val="center"/>
          </w:tcPr>
          <w:p>
            <w:pPr>
              <w:keepNext w:val="0"/>
              <w:keepLines w:val="0"/>
              <w:pageBreakBefore w:val="0"/>
              <w:widowControl w:val="0"/>
              <w:tabs>
                <w:tab w:val="left" w:pos="420"/>
              </w:tabs>
              <w:kinsoku/>
              <w:wordWrap/>
              <w:overflowPunct/>
              <w:topLinePunct w:val="0"/>
              <w:autoSpaceDE/>
              <w:autoSpaceDN/>
              <w:bidi w:val="0"/>
              <w:adjustRightInd/>
              <w:snapToGrid/>
              <w:spacing w:line="280" w:lineRule="exact"/>
              <w:textAlignment w:val="auto"/>
              <w:rPr>
                <w:rFonts w:hint="eastAsia" w:ascii="方正仿宋_GBK" w:hAnsi="方正仿宋_GBK" w:eastAsia="方正仿宋_GBK" w:cs="方正仿宋_GBK"/>
                <w:color w:val="auto"/>
                <w:kern w:val="0"/>
                <w:sz w:val="24"/>
              </w:rPr>
            </w:pPr>
            <w:r>
              <w:rPr>
                <w:rFonts w:hint="eastAsia" w:ascii="方正仿宋_GBK" w:hAnsi="方正仿宋_GBK" w:eastAsia="方正仿宋_GBK" w:cs="方正仿宋_GBK"/>
                <w:color w:val="auto"/>
                <w:kern w:val="0"/>
                <w:sz w:val="24"/>
              </w:rPr>
              <w:t>（</w:t>
            </w:r>
            <w:r>
              <w:rPr>
                <w:rFonts w:hint="eastAsia" w:ascii="方正仿宋_GBK" w:hAnsi="方正仿宋_GBK" w:eastAsia="方正仿宋_GBK" w:cs="方正仿宋_GBK"/>
                <w:color w:val="auto"/>
                <w:kern w:val="0"/>
                <w:sz w:val="24"/>
                <w:lang w:val="en-US" w:eastAsia="zh-CN"/>
              </w:rPr>
              <w:t>一</w:t>
            </w:r>
            <w:r>
              <w:rPr>
                <w:rFonts w:hint="eastAsia" w:ascii="方正仿宋_GBK" w:hAnsi="方正仿宋_GBK" w:eastAsia="方正仿宋_GBK" w:cs="方正仿宋_GBK"/>
                <w:color w:val="auto"/>
                <w:kern w:val="0"/>
                <w:sz w:val="24"/>
              </w:rPr>
              <w:t>）</w:t>
            </w:r>
            <w:r>
              <w:rPr>
                <w:rFonts w:hint="eastAsia" w:ascii="方正仿宋_GBK" w:hAnsi="方正仿宋_GBK" w:eastAsia="方正仿宋_GBK" w:cs="方正仿宋_GBK"/>
                <w:color w:val="auto"/>
                <w:kern w:val="0"/>
                <w:sz w:val="24"/>
                <w:lang w:val="en-US" w:eastAsia="zh-CN"/>
              </w:rPr>
              <w:t>责令立即改正</w:t>
            </w:r>
            <w:r>
              <w:rPr>
                <w:rFonts w:hint="eastAsia" w:ascii="方正仿宋_GBK" w:hAnsi="方正仿宋_GBK" w:eastAsia="方正仿宋_GBK" w:cs="方正仿宋_GBK"/>
                <w:color w:val="auto"/>
                <w:kern w:val="0"/>
                <w:sz w:val="24"/>
              </w:rPr>
              <w:t>；</w:t>
            </w:r>
          </w:p>
          <w:p>
            <w:pPr>
              <w:keepNext w:val="0"/>
              <w:keepLines w:val="0"/>
              <w:pageBreakBefore w:val="0"/>
              <w:widowControl w:val="0"/>
              <w:tabs>
                <w:tab w:val="left" w:pos="420"/>
              </w:tabs>
              <w:kinsoku/>
              <w:wordWrap/>
              <w:overflowPunct/>
              <w:topLinePunct w:val="0"/>
              <w:autoSpaceDE/>
              <w:autoSpaceDN/>
              <w:bidi w:val="0"/>
              <w:adjustRightInd/>
              <w:snapToGrid/>
              <w:spacing w:line="280" w:lineRule="exact"/>
              <w:textAlignment w:val="auto"/>
              <w:rPr>
                <w:rFonts w:hint="eastAsia" w:ascii="方正仿宋_GBK" w:hAnsi="方正仿宋_GBK" w:eastAsia="方正仿宋_GBK" w:cs="方正仿宋_GBK"/>
                <w:color w:val="auto"/>
                <w:kern w:val="0"/>
                <w:sz w:val="24"/>
              </w:rPr>
            </w:pPr>
            <w:r>
              <w:rPr>
                <w:rFonts w:hint="eastAsia" w:ascii="方正仿宋_GBK" w:hAnsi="方正仿宋_GBK" w:eastAsia="方正仿宋_GBK" w:cs="方正仿宋_GBK"/>
                <w:color w:val="auto"/>
                <w:kern w:val="0"/>
                <w:sz w:val="24"/>
              </w:rPr>
              <w:t>（</w:t>
            </w:r>
            <w:r>
              <w:rPr>
                <w:rFonts w:hint="eastAsia" w:ascii="方正仿宋_GBK" w:hAnsi="方正仿宋_GBK" w:eastAsia="方正仿宋_GBK" w:cs="方正仿宋_GBK"/>
                <w:color w:val="auto"/>
                <w:kern w:val="0"/>
                <w:sz w:val="24"/>
                <w:lang w:val="en-US" w:eastAsia="zh-CN"/>
              </w:rPr>
              <w:t>二</w:t>
            </w:r>
            <w:r>
              <w:rPr>
                <w:rFonts w:hint="eastAsia" w:ascii="方正仿宋_GBK" w:hAnsi="方正仿宋_GBK" w:eastAsia="方正仿宋_GBK" w:cs="方正仿宋_GBK"/>
                <w:color w:val="auto"/>
                <w:kern w:val="0"/>
                <w:sz w:val="24"/>
              </w:rPr>
              <w:t>）</w:t>
            </w:r>
            <w:r>
              <w:rPr>
                <w:rFonts w:hint="eastAsia" w:ascii="方正仿宋_GBK" w:hAnsi="方正仿宋_GBK" w:eastAsia="方正仿宋_GBK" w:cs="方正仿宋_GBK"/>
                <w:color w:val="auto"/>
                <w:kern w:val="0"/>
                <w:sz w:val="24"/>
                <w:lang w:val="en-US" w:eastAsia="zh-CN"/>
              </w:rPr>
              <w:t>责令限期改正；</w:t>
            </w:r>
          </w:p>
          <w:p>
            <w:pPr>
              <w:keepNext w:val="0"/>
              <w:keepLines w:val="0"/>
              <w:pageBreakBefore w:val="0"/>
              <w:widowControl w:val="0"/>
              <w:tabs>
                <w:tab w:val="left" w:pos="420"/>
              </w:tabs>
              <w:kinsoku/>
              <w:wordWrap/>
              <w:overflowPunct/>
              <w:topLinePunct w:val="0"/>
              <w:autoSpaceDE/>
              <w:autoSpaceDN/>
              <w:bidi w:val="0"/>
              <w:adjustRightInd/>
              <w:snapToGrid/>
              <w:spacing w:line="280" w:lineRule="exact"/>
              <w:textAlignment w:val="auto"/>
              <w:rPr>
                <w:rFonts w:hint="eastAsia" w:ascii="方正仿宋_GBK" w:hAnsi="方正仿宋_GBK" w:eastAsia="方正仿宋_GBK" w:cs="方正仿宋_GBK"/>
                <w:color w:val="auto"/>
                <w:kern w:val="0"/>
                <w:sz w:val="24"/>
              </w:rPr>
            </w:pPr>
            <w:r>
              <w:rPr>
                <w:rFonts w:hint="eastAsia" w:ascii="方正仿宋_GBK" w:hAnsi="方正仿宋_GBK" w:eastAsia="方正仿宋_GBK" w:cs="方正仿宋_GBK"/>
                <w:color w:val="auto"/>
                <w:kern w:val="0"/>
                <w:sz w:val="24"/>
              </w:rPr>
              <w:t>（</w:t>
            </w:r>
            <w:r>
              <w:rPr>
                <w:rFonts w:hint="eastAsia" w:ascii="方正仿宋_GBK" w:hAnsi="方正仿宋_GBK" w:eastAsia="方正仿宋_GBK" w:cs="方正仿宋_GBK"/>
                <w:color w:val="auto"/>
                <w:kern w:val="0"/>
                <w:sz w:val="24"/>
                <w:lang w:val="en-US" w:eastAsia="zh-CN"/>
              </w:rPr>
              <w:t>三</w:t>
            </w:r>
            <w:r>
              <w:rPr>
                <w:rFonts w:hint="eastAsia" w:ascii="方正仿宋_GBK" w:hAnsi="方正仿宋_GBK" w:eastAsia="方正仿宋_GBK" w:cs="方正仿宋_GBK"/>
                <w:color w:val="auto"/>
                <w:kern w:val="0"/>
                <w:sz w:val="24"/>
              </w:rPr>
              <w:t>）</w:t>
            </w:r>
            <w:r>
              <w:rPr>
                <w:rFonts w:hint="eastAsia" w:ascii="方正仿宋_GBK" w:hAnsi="方正仿宋_GBK" w:eastAsia="方正仿宋_GBK" w:cs="方正仿宋_GBK"/>
                <w:color w:val="auto"/>
                <w:kern w:val="0"/>
                <w:sz w:val="24"/>
                <w:lang w:val="en-US" w:eastAsia="zh-CN"/>
              </w:rPr>
              <w:t>警告；</w:t>
            </w:r>
          </w:p>
          <w:p>
            <w:pPr>
              <w:keepNext w:val="0"/>
              <w:keepLines w:val="0"/>
              <w:pageBreakBefore w:val="0"/>
              <w:widowControl w:val="0"/>
              <w:tabs>
                <w:tab w:val="left" w:pos="420"/>
              </w:tabs>
              <w:kinsoku/>
              <w:wordWrap/>
              <w:overflowPunct/>
              <w:topLinePunct w:val="0"/>
              <w:autoSpaceDE/>
              <w:autoSpaceDN/>
              <w:bidi w:val="0"/>
              <w:adjustRightInd/>
              <w:snapToGrid/>
              <w:spacing w:line="280" w:lineRule="exact"/>
              <w:textAlignment w:val="auto"/>
              <w:rPr>
                <w:rFonts w:hint="eastAsia" w:ascii="方正仿宋_GBK" w:hAnsi="方正仿宋_GBK" w:eastAsia="方正仿宋_GBK" w:cs="方正仿宋_GBK"/>
                <w:snapToGrid w:val="0"/>
                <w:color w:val="auto"/>
                <w:spacing w:val="6"/>
                <w:kern w:val="0"/>
                <w:sz w:val="24"/>
                <w:szCs w:val="30"/>
                <w:lang w:val="en-US" w:eastAsia="zh-CN" w:bidi="ar-SA"/>
              </w:rPr>
            </w:pPr>
            <w:r>
              <w:rPr>
                <w:rFonts w:hint="eastAsia" w:ascii="方正仿宋_GBK" w:hAnsi="方正仿宋_GBK" w:eastAsia="方正仿宋_GBK" w:cs="方正仿宋_GBK"/>
                <w:color w:val="auto"/>
                <w:kern w:val="0"/>
                <w:sz w:val="24"/>
              </w:rPr>
              <w:t>（</w:t>
            </w:r>
            <w:r>
              <w:rPr>
                <w:rFonts w:hint="eastAsia" w:ascii="方正仿宋_GBK" w:hAnsi="方正仿宋_GBK" w:eastAsia="方正仿宋_GBK" w:cs="方正仿宋_GBK"/>
                <w:color w:val="auto"/>
                <w:kern w:val="0"/>
                <w:sz w:val="24"/>
                <w:lang w:val="en-US" w:eastAsia="zh-CN"/>
              </w:rPr>
              <w:t>四</w:t>
            </w:r>
            <w:r>
              <w:rPr>
                <w:rFonts w:hint="eastAsia" w:ascii="方正仿宋_GBK" w:hAnsi="方正仿宋_GBK" w:eastAsia="方正仿宋_GBK" w:cs="方正仿宋_GBK"/>
                <w:color w:val="auto"/>
                <w:kern w:val="0"/>
                <w:sz w:val="24"/>
              </w:rPr>
              <w:t>）罚款（对个人处以两千元以下罚款和对单位处以三万元以下的罚款）。</w:t>
            </w:r>
          </w:p>
        </w:tc>
      </w:tr>
      <w:tr>
        <w:tblPrEx>
          <w:tblLayout w:type="fixed"/>
          <w:tblCellMar>
            <w:top w:w="0" w:type="dxa"/>
            <w:left w:w="0" w:type="dxa"/>
            <w:bottom w:w="0" w:type="dxa"/>
            <w:right w:w="0" w:type="dxa"/>
          </w:tblCellMar>
        </w:tblPrEx>
        <w:trPr>
          <w:trHeight w:val="2915" w:hRule="atLeast"/>
          <w:jc w:val="center"/>
        </w:trPr>
        <w:tc>
          <w:tcPr>
            <w:tcW w:w="620" w:type="dxa"/>
            <w:vMerge w:val="continue"/>
            <w:tcBorders>
              <w:top w:val="single" w:color="auto" w:sz="4" w:space="0"/>
              <w:left w:val="single" w:color="auto" w:sz="4" w:space="0"/>
              <w:bottom w:val="single" w:color="auto" w:sz="4" w:space="0"/>
              <w:right w:val="single" w:color="auto" w:sz="4" w:space="0"/>
            </w:tcBorders>
            <w:noWrap w:val="0"/>
            <w:tcMar>
              <w:top w:w="17" w:type="dxa"/>
              <w:left w:w="17" w:type="dxa"/>
              <w:bottom w:w="17" w:type="dxa"/>
              <w:right w:w="17"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方正仿宋_GBK" w:hAnsi="方正仿宋_GBK" w:eastAsia="方正仿宋_GBK" w:cs="方正仿宋_GBK"/>
                <w:color w:val="auto"/>
                <w:kern w:val="0"/>
                <w:sz w:val="24"/>
              </w:rPr>
            </w:pPr>
          </w:p>
        </w:tc>
        <w:tc>
          <w:tcPr>
            <w:tcW w:w="885" w:type="dxa"/>
            <w:vMerge w:val="continue"/>
            <w:tcBorders>
              <w:top w:val="single" w:color="auto" w:sz="4" w:space="0"/>
              <w:left w:val="single" w:color="auto" w:sz="4" w:space="0"/>
              <w:bottom w:val="single" w:color="auto" w:sz="4" w:space="0"/>
              <w:right w:val="single" w:color="auto" w:sz="4" w:space="0"/>
            </w:tcBorders>
            <w:noWrap w:val="0"/>
            <w:tcMar>
              <w:top w:w="17" w:type="dxa"/>
              <w:left w:w="17" w:type="dxa"/>
              <w:bottom w:w="17" w:type="dxa"/>
              <w:right w:w="17"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方正仿宋_GBK" w:hAnsi="方正仿宋_GBK" w:eastAsia="方正仿宋_GBK" w:cs="方正仿宋_GBK"/>
                <w:color w:val="auto"/>
                <w:kern w:val="0"/>
                <w:sz w:val="24"/>
              </w:rPr>
            </w:pPr>
          </w:p>
        </w:tc>
        <w:tc>
          <w:tcPr>
            <w:tcW w:w="1050" w:type="dxa"/>
            <w:vMerge w:val="continue"/>
            <w:tcBorders>
              <w:top w:val="single" w:color="auto" w:sz="4" w:space="0"/>
              <w:left w:val="single" w:color="auto" w:sz="4" w:space="0"/>
              <w:bottom w:val="single" w:color="auto" w:sz="4" w:space="0"/>
              <w:right w:val="single" w:color="auto" w:sz="4" w:space="0"/>
            </w:tcBorders>
            <w:noWrap w:val="0"/>
            <w:tcMar>
              <w:top w:w="17" w:type="dxa"/>
              <w:left w:w="17" w:type="dxa"/>
              <w:bottom w:w="17" w:type="dxa"/>
              <w:right w:w="17"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方正仿宋_GBK" w:hAnsi="方正仿宋_GBK" w:eastAsia="方正仿宋_GBK" w:cs="方正仿宋_GBK"/>
                <w:color w:val="auto"/>
                <w:kern w:val="0"/>
                <w:sz w:val="24"/>
              </w:rPr>
            </w:pPr>
          </w:p>
        </w:tc>
        <w:tc>
          <w:tcPr>
            <w:tcW w:w="4965" w:type="dxa"/>
            <w:tcBorders>
              <w:top w:val="single" w:color="auto" w:sz="4" w:space="0"/>
              <w:left w:val="single" w:color="auto" w:sz="4" w:space="0"/>
              <w:bottom w:val="single" w:color="auto" w:sz="4" w:space="0"/>
              <w:right w:val="single" w:color="auto" w:sz="8" w:space="0"/>
            </w:tcBorders>
            <w:noWrap w:val="0"/>
            <w:tcMar>
              <w:top w:w="17" w:type="dxa"/>
              <w:left w:w="17" w:type="dxa"/>
              <w:bottom w:w="17" w:type="dxa"/>
              <w:right w:w="17" w:type="dxa"/>
            </w:tcMar>
            <w:vAlign w:val="center"/>
          </w:tcPr>
          <w:p>
            <w:pPr>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280" w:lineRule="exact"/>
              <w:ind w:right="0"/>
              <w:jc w:val="both"/>
              <w:textAlignment w:val="auto"/>
              <w:rPr>
                <w:rFonts w:hint="eastAsia" w:ascii="方正仿宋_GBK" w:hAnsi="方正仿宋_GBK" w:eastAsia="方正仿宋_GBK" w:cs="方正仿宋_GBK"/>
                <w:snapToGrid w:val="0"/>
                <w:color w:val="auto"/>
                <w:spacing w:val="6"/>
                <w:kern w:val="0"/>
                <w:sz w:val="24"/>
                <w:szCs w:val="30"/>
                <w:lang w:val="en-US" w:eastAsia="zh-CN" w:bidi="ar"/>
              </w:rPr>
            </w:pPr>
            <w:r>
              <w:rPr>
                <w:rFonts w:hint="eastAsia" w:ascii="方正仿宋_GBK" w:hAnsi="方正仿宋_GBK" w:eastAsia="方正仿宋_GBK" w:cs="方正仿宋_GBK"/>
                <w:snapToGrid w:val="0"/>
                <w:color w:val="auto"/>
                <w:spacing w:val="6"/>
                <w:kern w:val="0"/>
                <w:sz w:val="24"/>
                <w:szCs w:val="30"/>
                <w:lang w:val="en-US" w:eastAsia="zh-CN" w:bidi="ar"/>
              </w:rPr>
              <w:t>《高层民用建筑消防安全管理规定》第四十七条：</w:t>
            </w:r>
          </w:p>
          <w:p>
            <w:pPr>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280" w:lineRule="exact"/>
              <w:ind w:right="0"/>
              <w:jc w:val="both"/>
              <w:textAlignment w:val="auto"/>
              <w:rPr>
                <w:rFonts w:hint="eastAsia" w:ascii="方正仿宋_GBK" w:hAnsi="方正仿宋_GBK" w:eastAsia="方正仿宋_GBK" w:cs="方正仿宋_GBK"/>
                <w:snapToGrid w:val="0"/>
                <w:color w:val="auto"/>
                <w:spacing w:val="6"/>
                <w:kern w:val="0"/>
                <w:sz w:val="24"/>
                <w:szCs w:val="30"/>
                <w:lang w:val="en-US" w:eastAsia="zh-CN" w:bidi="ar"/>
              </w:rPr>
            </w:pPr>
            <w:r>
              <w:rPr>
                <w:rFonts w:hint="eastAsia" w:ascii="方正仿宋_GBK" w:hAnsi="方正仿宋_GBK" w:eastAsia="方正仿宋_GBK" w:cs="方正仿宋_GBK"/>
                <w:snapToGrid w:val="0"/>
                <w:color w:val="auto"/>
                <w:spacing w:val="6"/>
                <w:kern w:val="0"/>
                <w:sz w:val="24"/>
                <w:szCs w:val="30"/>
                <w:lang w:val="en-US" w:eastAsia="zh-CN" w:bidi="ar"/>
              </w:rPr>
              <w:t>违反本规定，有下列行为之一的，由消防救援机构责令改正，对经营性单位和个人处</w:t>
            </w:r>
            <w:r>
              <w:rPr>
                <w:rFonts w:hint="default" w:ascii="Times New Roman" w:hAnsi="Times New Roman" w:eastAsia="方正仿宋_GBK" w:cs="Times New Roman"/>
                <w:snapToGrid w:val="0"/>
                <w:color w:val="auto"/>
                <w:spacing w:val="6"/>
                <w:kern w:val="0"/>
                <w:sz w:val="24"/>
                <w:szCs w:val="30"/>
                <w:lang w:val="en-US" w:eastAsia="zh-CN" w:bidi="ar-SA"/>
              </w:rPr>
              <w:t>2000</w:t>
            </w:r>
            <w:r>
              <w:rPr>
                <w:rFonts w:hint="eastAsia" w:ascii="方正仿宋_GBK" w:hAnsi="方正仿宋_GBK" w:eastAsia="方正仿宋_GBK" w:cs="方正仿宋_GBK"/>
                <w:snapToGrid w:val="0"/>
                <w:color w:val="auto"/>
                <w:spacing w:val="6"/>
                <w:kern w:val="0"/>
                <w:sz w:val="24"/>
                <w:szCs w:val="30"/>
                <w:lang w:val="en-US" w:eastAsia="zh-CN" w:bidi="ar"/>
              </w:rPr>
              <w:t>元以上</w:t>
            </w:r>
            <w:r>
              <w:rPr>
                <w:rFonts w:hint="default" w:ascii="Times New Roman" w:hAnsi="Times New Roman" w:eastAsia="方正仿宋_GBK" w:cs="Times New Roman"/>
                <w:snapToGrid w:val="0"/>
                <w:color w:val="auto"/>
                <w:spacing w:val="6"/>
                <w:kern w:val="0"/>
                <w:sz w:val="24"/>
                <w:szCs w:val="30"/>
                <w:lang w:val="en-US" w:eastAsia="zh-CN" w:bidi="ar-SA"/>
              </w:rPr>
              <w:t>10000</w:t>
            </w:r>
            <w:r>
              <w:rPr>
                <w:rFonts w:hint="eastAsia" w:ascii="方正仿宋_GBK" w:hAnsi="方正仿宋_GBK" w:eastAsia="方正仿宋_GBK" w:cs="方正仿宋_GBK"/>
                <w:snapToGrid w:val="0"/>
                <w:color w:val="auto"/>
                <w:spacing w:val="6"/>
                <w:kern w:val="0"/>
                <w:sz w:val="24"/>
                <w:szCs w:val="30"/>
                <w:lang w:val="en-US" w:eastAsia="zh-CN" w:bidi="ar"/>
              </w:rPr>
              <w:t>元以下罚款，对非经营性单位和个人处</w:t>
            </w:r>
            <w:r>
              <w:rPr>
                <w:rFonts w:hint="default" w:ascii="Times New Roman" w:hAnsi="Times New Roman" w:eastAsia="方正仿宋_GBK" w:cs="Times New Roman"/>
                <w:snapToGrid w:val="0"/>
                <w:color w:val="auto"/>
                <w:spacing w:val="6"/>
                <w:kern w:val="0"/>
                <w:sz w:val="24"/>
                <w:szCs w:val="30"/>
                <w:lang w:val="en-US" w:eastAsia="zh-CN" w:bidi="ar-SA"/>
              </w:rPr>
              <w:t>500</w:t>
            </w:r>
            <w:r>
              <w:rPr>
                <w:rFonts w:hint="eastAsia" w:ascii="方正仿宋_GBK" w:hAnsi="方正仿宋_GBK" w:eastAsia="方正仿宋_GBK" w:cs="方正仿宋_GBK"/>
                <w:snapToGrid w:val="0"/>
                <w:color w:val="auto"/>
                <w:spacing w:val="6"/>
                <w:kern w:val="0"/>
                <w:sz w:val="24"/>
                <w:szCs w:val="30"/>
                <w:lang w:val="en-US" w:eastAsia="zh-CN" w:bidi="ar"/>
              </w:rPr>
              <w:t>元以上</w:t>
            </w:r>
            <w:r>
              <w:rPr>
                <w:rFonts w:hint="default" w:ascii="Times New Roman" w:hAnsi="Times New Roman" w:eastAsia="方正仿宋_GBK" w:cs="Times New Roman"/>
                <w:snapToGrid w:val="0"/>
                <w:color w:val="auto"/>
                <w:spacing w:val="6"/>
                <w:kern w:val="0"/>
                <w:sz w:val="24"/>
                <w:szCs w:val="30"/>
                <w:lang w:val="en-US" w:eastAsia="zh-CN" w:bidi="ar-SA"/>
              </w:rPr>
              <w:t>1000</w:t>
            </w:r>
            <w:r>
              <w:rPr>
                <w:rFonts w:hint="eastAsia" w:ascii="方正仿宋_GBK" w:hAnsi="方正仿宋_GBK" w:eastAsia="方正仿宋_GBK" w:cs="方正仿宋_GBK"/>
                <w:snapToGrid w:val="0"/>
                <w:color w:val="auto"/>
                <w:spacing w:val="6"/>
                <w:kern w:val="0"/>
                <w:sz w:val="24"/>
                <w:szCs w:val="30"/>
                <w:lang w:val="en-US" w:eastAsia="zh-CN" w:bidi="ar"/>
              </w:rPr>
              <w:t>元以下罚款：</w:t>
            </w:r>
          </w:p>
          <w:p>
            <w:pPr>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280" w:lineRule="exact"/>
              <w:ind w:right="0"/>
              <w:jc w:val="both"/>
              <w:textAlignment w:val="auto"/>
              <w:rPr>
                <w:rFonts w:hint="eastAsia" w:ascii="方正仿宋_GBK" w:hAnsi="方正仿宋_GBK" w:eastAsia="方正仿宋_GBK" w:cs="方正仿宋_GBK"/>
                <w:snapToGrid w:val="0"/>
                <w:color w:val="auto"/>
                <w:spacing w:val="6"/>
                <w:kern w:val="0"/>
                <w:sz w:val="24"/>
                <w:szCs w:val="30"/>
                <w:lang w:val="en-US" w:eastAsia="zh-CN" w:bidi="ar"/>
              </w:rPr>
            </w:pPr>
            <w:r>
              <w:rPr>
                <w:rFonts w:hint="eastAsia" w:ascii="方正仿宋_GBK" w:hAnsi="方正仿宋_GBK" w:eastAsia="方正仿宋_GBK" w:cs="方正仿宋_GBK"/>
                <w:snapToGrid w:val="0"/>
                <w:color w:val="auto"/>
                <w:spacing w:val="6"/>
                <w:kern w:val="0"/>
                <w:sz w:val="24"/>
                <w:szCs w:val="30"/>
                <w:lang w:val="en-US" w:eastAsia="zh-CN" w:bidi="ar"/>
              </w:rPr>
              <w:t>（一）在高层民用建筑内进行电焊、气焊等明火作业，未履行动火审批手续、进行公告，或者未落实消防现场监护措施的；</w:t>
            </w:r>
          </w:p>
          <w:p>
            <w:pPr>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280" w:lineRule="exact"/>
              <w:ind w:right="0"/>
              <w:jc w:val="both"/>
              <w:textAlignment w:val="auto"/>
              <w:rPr>
                <w:rFonts w:hint="eastAsia" w:ascii="方正仿宋_GBK" w:hAnsi="方正仿宋_GBK" w:eastAsia="方正仿宋_GBK" w:cs="方正仿宋_GBK"/>
                <w:snapToGrid w:val="0"/>
                <w:color w:val="auto"/>
                <w:spacing w:val="6"/>
                <w:kern w:val="0"/>
                <w:sz w:val="24"/>
                <w:szCs w:val="30"/>
                <w:lang w:val="en-US" w:eastAsia="zh-CN" w:bidi="ar"/>
              </w:rPr>
            </w:pPr>
            <w:r>
              <w:rPr>
                <w:rFonts w:hint="eastAsia" w:ascii="方正仿宋_GBK" w:hAnsi="方正仿宋_GBK" w:eastAsia="方正仿宋_GBK" w:cs="方正仿宋_GBK"/>
                <w:snapToGrid w:val="0"/>
                <w:color w:val="auto"/>
                <w:spacing w:val="6"/>
                <w:kern w:val="0"/>
                <w:sz w:val="24"/>
                <w:szCs w:val="30"/>
                <w:lang w:val="en-US" w:eastAsia="zh-CN" w:bidi="ar"/>
              </w:rPr>
              <w:t>（二）高层民用建筑设置的户外广告牌、外装饰妨碍防烟排烟、逃生和灭火救援，或者改变、破坏建筑立面防火结构的；</w:t>
            </w:r>
          </w:p>
          <w:p>
            <w:pPr>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280" w:lineRule="exact"/>
              <w:ind w:right="0"/>
              <w:jc w:val="both"/>
              <w:textAlignment w:val="auto"/>
              <w:rPr>
                <w:rFonts w:hint="eastAsia" w:ascii="方正仿宋_GBK" w:hAnsi="方正仿宋_GBK" w:eastAsia="方正仿宋_GBK" w:cs="方正仿宋_GBK"/>
                <w:snapToGrid w:val="0"/>
                <w:color w:val="auto"/>
                <w:spacing w:val="6"/>
                <w:kern w:val="0"/>
                <w:sz w:val="24"/>
                <w:szCs w:val="30"/>
                <w:lang w:val="en-US" w:eastAsia="zh-CN" w:bidi="ar"/>
              </w:rPr>
            </w:pPr>
            <w:r>
              <w:rPr>
                <w:rFonts w:hint="eastAsia" w:ascii="方正仿宋_GBK" w:hAnsi="方正仿宋_GBK" w:eastAsia="方正仿宋_GBK" w:cs="方正仿宋_GBK"/>
                <w:snapToGrid w:val="0"/>
                <w:color w:val="auto"/>
                <w:spacing w:val="6"/>
                <w:kern w:val="0"/>
                <w:sz w:val="24"/>
                <w:szCs w:val="30"/>
                <w:lang w:val="en-US" w:eastAsia="zh-CN" w:bidi="ar"/>
              </w:rPr>
              <w:t>（三）未设置外墙外保温材料提示性和警示性标识，或者未及时修复破损、开裂和脱落的外墙外保温系统的；</w:t>
            </w:r>
          </w:p>
          <w:p>
            <w:pPr>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280" w:lineRule="exact"/>
              <w:ind w:right="0"/>
              <w:jc w:val="both"/>
              <w:textAlignment w:val="auto"/>
              <w:rPr>
                <w:rFonts w:hint="eastAsia" w:ascii="方正仿宋_GBK" w:hAnsi="方正仿宋_GBK" w:eastAsia="方正仿宋_GBK" w:cs="方正仿宋_GBK"/>
                <w:snapToGrid w:val="0"/>
                <w:color w:val="auto"/>
                <w:spacing w:val="6"/>
                <w:kern w:val="0"/>
                <w:sz w:val="24"/>
                <w:szCs w:val="30"/>
                <w:lang w:val="en-US" w:eastAsia="zh-CN" w:bidi="ar"/>
              </w:rPr>
            </w:pPr>
            <w:r>
              <w:rPr>
                <w:rFonts w:hint="eastAsia" w:ascii="方正仿宋_GBK" w:hAnsi="方正仿宋_GBK" w:eastAsia="方正仿宋_GBK" w:cs="方正仿宋_GBK"/>
                <w:snapToGrid w:val="0"/>
                <w:color w:val="auto"/>
                <w:spacing w:val="6"/>
                <w:kern w:val="0"/>
                <w:sz w:val="24"/>
                <w:szCs w:val="30"/>
                <w:lang w:val="en-US" w:eastAsia="zh-CN" w:bidi="ar"/>
              </w:rPr>
              <w:t>（四）未按照规定落实消防控制室值班制度，或者安排不具备相应条件的人员值班的；</w:t>
            </w:r>
          </w:p>
          <w:p>
            <w:pPr>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280" w:lineRule="exact"/>
              <w:ind w:right="0"/>
              <w:jc w:val="both"/>
              <w:textAlignment w:val="auto"/>
              <w:rPr>
                <w:rFonts w:hint="eastAsia" w:ascii="方正仿宋_GBK" w:hAnsi="方正仿宋_GBK" w:eastAsia="方正仿宋_GBK" w:cs="方正仿宋_GBK"/>
                <w:snapToGrid w:val="0"/>
                <w:color w:val="auto"/>
                <w:spacing w:val="6"/>
                <w:kern w:val="0"/>
                <w:sz w:val="24"/>
                <w:szCs w:val="30"/>
                <w:lang w:val="en-US" w:eastAsia="zh-CN" w:bidi="ar"/>
              </w:rPr>
            </w:pPr>
            <w:r>
              <w:rPr>
                <w:rFonts w:hint="eastAsia" w:ascii="方正仿宋_GBK" w:hAnsi="方正仿宋_GBK" w:eastAsia="方正仿宋_GBK" w:cs="方正仿宋_GBK"/>
                <w:snapToGrid w:val="0"/>
                <w:color w:val="auto"/>
                <w:spacing w:val="6"/>
                <w:kern w:val="0"/>
                <w:sz w:val="24"/>
                <w:szCs w:val="30"/>
                <w:lang w:val="en-US" w:eastAsia="zh-CN" w:bidi="ar"/>
              </w:rPr>
              <w:t>（五）未按照规定建立专职消防队、志愿消防队等消防组织的；</w:t>
            </w:r>
          </w:p>
          <w:p>
            <w:pPr>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280" w:lineRule="exact"/>
              <w:ind w:right="0"/>
              <w:jc w:val="both"/>
              <w:textAlignment w:val="auto"/>
              <w:rPr>
                <w:rFonts w:hint="eastAsia" w:ascii="方正仿宋_GBK" w:hAnsi="方正仿宋_GBK" w:eastAsia="方正仿宋_GBK" w:cs="方正仿宋_GBK"/>
                <w:snapToGrid w:val="0"/>
                <w:color w:val="auto"/>
                <w:spacing w:val="6"/>
                <w:kern w:val="0"/>
                <w:sz w:val="24"/>
                <w:szCs w:val="30"/>
                <w:lang w:val="en-US" w:eastAsia="zh-CN" w:bidi="ar"/>
              </w:rPr>
            </w:pPr>
            <w:r>
              <w:rPr>
                <w:rFonts w:hint="eastAsia" w:ascii="方正仿宋_GBK" w:hAnsi="方正仿宋_GBK" w:eastAsia="方正仿宋_GBK" w:cs="方正仿宋_GBK"/>
                <w:snapToGrid w:val="0"/>
                <w:color w:val="auto"/>
                <w:spacing w:val="6"/>
                <w:kern w:val="0"/>
                <w:sz w:val="24"/>
                <w:szCs w:val="30"/>
                <w:lang w:val="en-US" w:eastAsia="zh-CN" w:bidi="ar"/>
              </w:rPr>
              <w:t>（六）因维修等需要停用建筑消防设施未进行公告、未制定应急预案或者未落实防范措施的；</w:t>
            </w:r>
          </w:p>
          <w:p>
            <w:pPr>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280" w:lineRule="exact"/>
              <w:ind w:right="0"/>
              <w:jc w:val="both"/>
              <w:textAlignment w:val="auto"/>
              <w:rPr>
                <w:rFonts w:hint="eastAsia" w:ascii="方正仿宋_GBK" w:hAnsi="方正仿宋_GBK" w:eastAsia="方正仿宋_GBK" w:cs="方正仿宋_GBK"/>
                <w:color w:val="auto"/>
                <w:kern w:val="0"/>
                <w:sz w:val="24"/>
              </w:rPr>
            </w:pPr>
            <w:r>
              <w:rPr>
                <w:rFonts w:hint="eastAsia" w:ascii="方正仿宋_GBK" w:hAnsi="方正仿宋_GBK" w:eastAsia="方正仿宋_GBK" w:cs="方正仿宋_GBK"/>
                <w:snapToGrid w:val="0"/>
                <w:color w:val="auto"/>
                <w:spacing w:val="6"/>
                <w:kern w:val="0"/>
                <w:sz w:val="24"/>
                <w:szCs w:val="30"/>
                <w:lang w:val="en-US" w:eastAsia="zh-CN" w:bidi="ar"/>
              </w:rPr>
              <w:t>（七）在高层民用建筑的公共门厅、疏散走道、楼梯间、安全出口停放电动自行车或者为电动自行车充电，拒不改正的。</w:t>
            </w:r>
          </w:p>
        </w:tc>
        <w:tc>
          <w:tcPr>
            <w:tcW w:w="2162" w:type="dxa"/>
            <w:vMerge w:val="continue"/>
            <w:tcBorders>
              <w:left w:val="nil"/>
              <w:bottom w:val="single" w:color="auto" w:sz="4" w:space="0"/>
              <w:right w:val="single" w:color="auto" w:sz="8" w:space="0"/>
            </w:tcBorders>
            <w:noWrap w:val="0"/>
            <w:tcMar>
              <w:top w:w="17" w:type="dxa"/>
              <w:left w:w="17" w:type="dxa"/>
              <w:bottom w:w="17" w:type="dxa"/>
              <w:right w:w="17" w:type="dxa"/>
            </w:tcMar>
            <w:vAlign w:val="center"/>
          </w:tcPr>
          <w:p>
            <w:pPr>
              <w:keepNext w:val="0"/>
              <w:keepLines w:val="0"/>
              <w:pageBreakBefore w:val="0"/>
              <w:widowControl w:val="0"/>
              <w:tabs>
                <w:tab w:val="left" w:pos="420"/>
              </w:tabs>
              <w:kinsoku/>
              <w:wordWrap/>
              <w:overflowPunct/>
              <w:topLinePunct w:val="0"/>
              <w:autoSpaceDE/>
              <w:autoSpaceDN/>
              <w:bidi w:val="0"/>
              <w:adjustRightInd/>
              <w:snapToGrid/>
              <w:spacing w:line="280" w:lineRule="exact"/>
              <w:textAlignment w:val="auto"/>
              <w:rPr>
                <w:rFonts w:hint="eastAsia" w:ascii="方正仿宋_GBK" w:hAnsi="方正仿宋_GBK" w:eastAsia="方正仿宋_GBK" w:cs="方正仿宋_GBK"/>
                <w:color w:val="auto"/>
                <w:kern w:val="0"/>
                <w:sz w:val="24"/>
              </w:rPr>
            </w:pP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黑体_GBK">
    <w:altName w:val="Arial Unicode MS"/>
    <w:panose1 w:val="02000000000000000000"/>
    <w:charset w:val="86"/>
    <w:family w:val="auto"/>
    <w:pitch w:val="default"/>
    <w:sig w:usb0="00000000" w:usb1="00000000" w:usb2="00000000" w:usb3="00000000" w:csb0="00040000" w:csb1="00000000"/>
  </w:font>
  <w:font w:name="方正小标宋_GBK">
    <w:altName w:val="Arial Unicode MS"/>
    <w:panose1 w:val="02000000000000000000"/>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方正仿宋_GBK">
    <w:altName w:val="Arial Unicode MS"/>
    <w:panose1 w:val="02000000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8C144D"/>
    <w:rsid w:val="2C8C14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宋体" w:eastAsia="仿宋_GB2312" w:cs="Times New Roman"/>
      <w:snapToGrid w:val="0"/>
      <w:spacing w:val="6"/>
      <w:kern w:val="2"/>
      <w:sz w:val="30"/>
      <w:szCs w:val="30"/>
      <w:lang w:val="en-US" w:eastAsia="zh-CN" w:bidi="ar-SA"/>
    </w:rPr>
  </w:style>
  <w:style w:type="character" w:default="1" w:styleId="5">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Body Text"/>
    <w:basedOn w:val="1"/>
    <w:next w:val="3"/>
    <w:unhideWhenUsed/>
    <w:qFormat/>
    <w:uiPriority w:val="99"/>
    <w:pPr>
      <w:spacing w:after="120" w:line="560" w:lineRule="exact"/>
      <w:ind w:firstLine="640" w:firstLineChars="200"/>
    </w:pPr>
    <w:rPr>
      <w:rFonts w:ascii="Times New Roman" w:hAnsi="Times New Roman" w:eastAsia="仿宋_GB2312"/>
      <w:sz w:val="32"/>
    </w:rPr>
  </w:style>
  <w:style w:type="paragraph" w:styleId="3">
    <w:name w:val="Title"/>
    <w:basedOn w:val="1"/>
    <w:next w:val="1"/>
    <w:qFormat/>
    <w:uiPriority w:val="10"/>
    <w:pPr>
      <w:spacing w:before="240" w:after="60"/>
      <w:jc w:val="center"/>
      <w:outlineLvl w:val="0"/>
    </w:pPr>
    <w:rPr>
      <w:rFonts w:ascii="Cambria" w:hAnsi="Cambria" w:eastAsia="宋体" w:cs="Times New Roman"/>
      <w:b/>
      <w:bCs/>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2024-03-21T01:39:00Z</dcterms:created>
  <dc:creator>Administrator</dc:creator>
  <cp:lastModifiedBy>Administrator</cp:lastModifiedBy>
  <dcterms:modified xsi:type="dcterms:W3CDTF">2024-03-21T01:40:05Z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